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eastAsiaTheme="minorEastAsia"/>
          <w:b/>
          <w:highlight w:val="none"/>
          <w:lang w:val="en-US" w:eastAsia="zh-CN"/>
        </w:rPr>
      </w:pPr>
      <w:bookmarkStart w:id="0" w:name="OLE_LINK33"/>
      <w:bookmarkStart w:id="1" w:name="OLE_LINK12"/>
      <w:bookmarkStart w:id="2" w:name="OLE_LINK13"/>
      <w:bookmarkStart w:id="3" w:name="OLE_LINK34"/>
      <w:bookmarkStart w:id="4" w:name="OLE_LINK24"/>
      <w:bookmarkStart w:id="5" w:name="OLE_LINK1"/>
      <w:r>
        <w:rPr>
          <w:rFonts w:ascii="Times New Roman" w:hAnsi="Times New Roman"/>
          <w:b/>
          <w:highlight w:val="none"/>
        </w:rPr>
        <w:t>3GPP TSG RAN WG1 #11</w:t>
      </w:r>
      <w:r>
        <w:rPr>
          <w:rFonts w:hint="eastAsia" w:ascii="Times New Roman" w:hAnsi="Times New Roman"/>
          <w:b/>
          <w:highlight w:val="none"/>
          <w:lang w:val="en-US" w:eastAsia="zh-CN"/>
        </w:rPr>
        <w:t>4</w:t>
      </w:r>
      <w:r>
        <w:rPr>
          <w:rFonts w:ascii="Times New Roman" w:hAnsi="Times New Roman"/>
          <w:b/>
          <w:highlight w:val="none"/>
        </w:rPr>
        <w:t xml:space="preserve">                                  </w:t>
      </w:r>
      <w:r>
        <w:rPr>
          <w:rFonts w:hint="default" w:ascii="Times New Roman" w:hAnsi="Times New Roman" w:cs="Times New Roman"/>
          <w:b/>
          <w:bCs w:val="0"/>
          <w:highlight w:val="none"/>
        </w:rPr>
        <w:t xml:space="preserve">      </w:t>
      </w:r>
      <w:r>
        <w:rPr>
          <w:rFonts w:hint="default" w:ascii="Times New Roman" w:hAnsi="Times New Roman" w:cs="Times New Roman"/>
          <w:b/>
          <w:bCs w:val="0"/>
          <w:highlight w:val="none"/>
          <w:lang w:val="en-US" w:eastAsia="zh-CN"/>
        </w:rPr>
        <w:t xml:space="preserve">    </w:t>
      </w:r>
      <w:r>
        <w:rPr>
          <w:rFonts w:hint="default" w:ascii="Times New Roman" w:hAnsi="Times New Roman" w:cs="Times New Roman"/>
          <w:b/>
          <w:bCs w:val="0"/>
          <w:highlight w:val="none"/>
        </w:rPr>
        <w:t xml:space="preserve">   R1-</w:t>
      </w:r>
      <w:r>
        <w:rPr>
          <w:rFonts w:hint="default" w:ascii="Times New Roman" w:hAnsi="Times New Roman" w:eastAsia="宋体" w:cs="Times New Roman"/>
          <w:b/>
          <w:bCs w:val="0"/>
          <w:i w:val="0"/>
          <w:iCs w:val="0"/>
          <w:caps w:val="0"/>
          <w:color w:val="000000"/>
          <w:spacing w:val="0"/>
          <w:sz w:val="21"/>
          <w:szCs w:val="21"/>
          <w:highlight w:val="none"/>
          <w:shd w:val="clear" w:fill="FFFFFF"/>
        </w:rPr>
        <w:t>2306865</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none"/>
        </w:rPr>
      </w:pPr>
      <w:r>
        <w:rPr>
          <w:rFonts w:hint="eastAsia" w:ascii="Times New Roman" w:hAnsi="Times New Roman"/>
          <w:b/>
          <w:highlight w:val="none"/>
          <w:lang w:val="en-US" w:eastAsia="zh-CN"/>
        </w:rPr>
        <w:t>Toulouse</w:t>
      </w:r>
      <w:r>
        <w:rPr>
          <w:rFonts w:ascii="Times New Roman" w:hAnsi="Times New Roman"/>
          <w:b/>
          <w:highlight w:val="none"/>
        </w:rPr>
        <w:t xml:space="preserve">, </w:t>
      </w:r>
      <w:r>
        <w:rPr>
          <w:rFonts w:hint="eastAsia" w:ascii="Times New Roman" w:hAnsi="Times New Roman"/>
          <w:b/>
          <w:highlight w:val="none"/>
          <w:lang w:val="en-US" w:eastAsia="zh-CN"/>
        </w:rPr>
        <w:t>France</w:t>
      </w:r>
      <w:r>
        <w:rPr>
          <w:rFonts w:ascii="Times New Roman" w:hAnsi="Times New Roman"/>
          <w:b/>
          <w:highlight w:val="none"/>
        </w:rPr>
        <w:t xml:space="preserve">, </w:t>
      </w:r>
      <w:r>
        <w:rPr>
          <w:rFonts w:hint="eastAsia" w:ascii="Times New Roman" w:hAnsi="Times New Roman"/>
          <w:b/>
          <w:highlight w:val="none"/>
          <w:lang w:val="en-US" w:eastAsia="zh-CN"/>
        </w:rPr>
        <w:t xml:space="preserve">August </w:t>
      </w:r>
      <w:r>
        <w:rPr>
          <w:rFonts w:ascii="Times New Roman" w:hAnsi="Times New Roman"/>
          <w:b/>
          <w:highlight w:val="none"/>
        </w:rPr>
        <w:t>2</w:t>
      </w:r>
      <w:r>
        <w:rPr>
          <w:rFonts w:hint="eastAsia" w:ascii="Times New Roman" w:hAnsi="Times New Roman"/>
          <w:b/>
          <w:highlight w:val="none"/>
          <w:lang w:val="en-US" w:eastAsia="zh-CN"/>
        </w:rPr>
        <w:t>1</w:t>
      </w:r>
      <w:r>
        <w:rPr>
          <w:rFonts w:hint="eastAsia" w:ascii="Times New Roman" w:hAnsi="Times New Roman"/>
          <w:b/>
          <w:highlight w:val="none"/>
          <w:vertAlign w:val="superscript"/>
          <w:lang w:val="en-US" w:eastAsia="zh-CN"/>
        </w:rPr>
        <w:t>st</w:t>
      </w:r>
      <w:r>
        <w:rPr>
          <w:rFonts w:ascii="Times New Roman" w:hAnsi="Times New Roman"/>
          <w:b/>
          <w:highlight w:val="none"/>
        </w:rPr>
        <w:t xml:space="preserve"> – </w:t>
      </w:r>
      <w:r>
        <w:rPr>
          <w:rFonts w:hint="eastAsia" w:ascii="Times New Roman" w:hAnsi="Times New Roman"/>
          <w:b/>
          <w:highlight w:val="none"/>
          <w:lang w:val="en-US" w:eastAsia="zh-CN"/>
        </w:rPr>
        <w:t xml:space="preserve">August </w:t>
      </w:r>
      <w:r>
        <w:rPr>
          <w:rFonts w:ascii="Times New Roman" w:hAnsi="Times New Roman"/>
          <w:b/>
          <w:highlight w:val="none"/>
        </w:rPr>
        <w:t>2</w:t>
      </w:r>
      <w:r>
        <w:rPr>
          <w:rFonts w:hint="eastAsia" w:ascii="Times New Roman" w:hAnsi="Times New Roman"/>
          <w:b/>
          <w:highlight w:val="none"/>
          <w:lang w:val="en-US" w:eastAsia="zh-CN"/>
        </w:rPr>
        <w:t>5</w:t>
      </w:r>
      <w:r>
        <w:rPr>
          <w:rFonts w:ascii="Times New Roman" w:hAnsi="Times New Roman"/>
          <w:b/>
          <w:highlight w:val="none"/>
          <w:vertAlign w:val="superscript"/>
        </w:rPr>
        <w:t>th</w:t>
      </w:r>
      <w:r>
        <w:rPr>
          <w:rFonts w:ascii="Times New Roman" w:hAnsi="Times New Roman"/>
          <w:b/>
          <w:highlight w:val="none"/>
        </w:rPr>
        <w:t>, 2023</w:t>
      </w:r>
    </w:p>
    <w:p>
      <w:pPr>
        <w:tabs>
          <w:tab w:val="center" w:pos="4536"/>
          <w:tab w:val="right" w:pos="8280"/>
          <w:tab w:val="right" w:pos="9639"/>
        </w:tabs>
        <w:snapToGrid w:val="0"/>
        <w:spacing w:after="0" w:line="240" w:lineRule="auto"/>
        <w:ind w:right="2"/>
        <w:jc w:val="both"/>
        <w:rPr>
          <w:rFonts w:ascii="Times New Roman" w:hAnsi="Times New Roman" w:eastAsia="宋体"/>
          <w:b/>
          <w:highlight w:val="none"/>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Source:</w:t>
      </w:r>
      <w:r>
        <w:rPr>
          <w:rFonts w:hint="eastAsia" w:ascii="Times New Roman" w:hAnsi="Times New Roman"/>
          <w:b/>
          <w:highlight w:val="none"/>
        </w:rPr>
        <w:tab/>
      </w:r>
      <w:r>
        <w:rPr>
          <w:rFonts w:hint="eastAsia" w:ascii="Times New Roman" w:hAnsi="Times New Roman"/>
          <w:b/>
          <w:highlight w:val="none"/>
        </w:rPr>
        <w:t>ZTE</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Title:</w:t>
      </w:r>
      <w:r>
        <w:rPr>
          <w:rFonts w:hint="eastAsia" w:ascii="Times New Roman" w:hAnsi="Times New Roman"/>
          <w:b/>
          <w:highlight w:val="none"/>
        </w:rPr>
        <w:tab/>
      </w:r>
      <w:r>
        <w:rPr>
          <w:rFonts w:hint="eastAsia" w:ascii="Times New Roman" w:hAnsi="Times New Roman"/>
          <w:b/>
          <w:highlight w:val="none"/>
        </w:rPr>
        <w:t>Discussion on carrier phase positioning</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Agenda item:</w:t>
      </w:r>
      <w:r>
        <w:rPr>
          <w:rFonts w:hint="eastAsia" w:ascii="Times New Roman" w:hAnsi="Times New Roman"/>
          <w:b/>
          <w:highlight w:val="none"/>
        </w:rPr>
        <w:tab/>
      </w:r>
      <w:r>
        <w:rPr>
          <w:rFonts w:hint="eastAsia" w:ascii="Times New Roman" w:hAnsi="Times New Roman"/>
          <w:b/>
          <w:highlight w:val="none"/>
        </w:rPr>
        <w:t>9.5.2</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Document for:</w:t>
      </w:r>
      <w:r>
        <w:rPr>
          <w:rFonts w:hint="eastAsia" w:ascii="Times New Roman" w:hAnsi="Times New Roman"/>
          <w:b/>
          <w:highlight w:val="none"/>
        </w:rPr>
        <w:tab/>
      </w:r>
      <w:r>
        <w:rPr>
          <w:rFonts w:hint="eastAsia" w:ascii="Times New Roman" w:hAnsi="Times New Roman"/>
          <w:b/>
          <w:highlight w:val="none"/>
        </w:rPr>
        <w:t>Discussion and Decision</w:t>
      </w:r>
    </w:p>
    <w:p>
      <w:pPr>
        <w:pStyle w:val="2"/>
        <w:snapToGrid w:val="0"/>
        <w:spacing w:before="120" w:after="180" w:afterLines="50"/>
        <w:ind w:left="431" w:hanging="431"/>
        <w:jc w:val="both"/>
        <w:rPr>
          <w:rFonts w:ascii="Times New Roman" w:hAnsi="Times New Roman"/>
          <w:color w:val="auto"/>
          <w:sz w:val="28"/>
          <w:highlight w:val="none"/>
          <w:lang w:val="en-US"/>
        </w:rPr>
      </w:pPr>
      <w:r>
        <w:rPr>
          <w:rFonts w:ascii="Times New Roman" w:hAnsi="Times New Roman"/>
          <w:color w:val="auto"/>
          <w:sz w:val="28"/>
          <w:highlight w:val="none"/>
          <w:lang w:val="en-US"/>
        </w:rPr>
        <w:t>Introduction</w:t>
      </w:r>
      <w:r>
        <w:rPr>
          <w:rFonts w:hint="eastAsia" w:ascii="Times New Roman" w:hAnsi="Times New Roman"/>
          <w:color w:val="auto"/>
          <w:sz w:val="28"/>
          <w:highlight w:val="none"/>
          <w:lang w:val="en-US"/>
        </w:rPr>
        <w:t xml:space="preserve"> </w:t>
      </w:r>
    </w:p>
    <w:p>
      <w:pPr>
        <w:adjustRightInd w:val="0"/>
        <w:snapToGrid w:val="0"/>
        <w:spacing w:before="180" w:beforeLines="50" w:after="180" w:afterLines="50" w:line="240" w:lineRule="auto"/>
        <w:jc w:val="both"/>
        <w:rPr>
          <w:rFonts w:ascii="Times New Roman" w:hAnsi="Times New Roman" w:eastAsia="宋体"/>
          <w:color w:val="auto"/>
          <w:sz w:val="20"/>
          <w:szCs w:val="20"/>
          <w:highlight w:val="none"/>
        </w:rPr>
      </w:pPr>
      <w:r>
        <w:rPr>
          <w:rFonts w:ascii="Times New Roman" w:hAnsi="Times New Roman" w:eastAsia="宋体"/>
          <w:color w:val="auto"/>
          <w:sz w:val="20"/>
          <w:szCs w:val="20"/>
          <w:highlight w:val="none"/>
        </w:rPr>
        <w:t xml:space="preserve">In </w:t>
      </w:r>
      <w:r>
        <w:rPr>
          <w:rFonts w:hint="eastAsia" w:ascii="Times New Roman" w:hAnsi="Times New Roman" w:eastAsia="宋体"/>
          <w:color w:val="auto"/>
          <w:sz w:val="20"/>
          <w:szCs w:val="20"/>
          <w:highlight w:val="none"/>
        </w:rPr>
        <w:t>3GPP TSG RAN WG1#11</w:t>
      </w:r>
      <w:r>
        <w:rPr>
          <w:rFonts w:hint="eastAsia" w:ascii="Times New Roman" w:hAnsi="Times New Roman" w:eastAsia="宋体"/>
          <w:color w:val="auto"/>
          <w:sz w:val="20"/>
          <w:szCs w:val="20"/>
          <w:highlight w:val="none"/>
          <w:lang w:val="en-US" w:eastAsia="zh-CN"/>
        </w:rPr>
        <w:t>3</w:t>
      </w:r>
      <w:r>
        <w:rPr>
          <w:rFonts w:hint="eastAsia" w:ascii="Times New Roman" w:hAnsi="Times New Roman" w:eastAsia="宋体"/>
          <w:color w:val="auto"/>
          <w:sz w:val="20"/>
          <w:szCs w:val="20"/>
          <w:highlight w:val="none"/>
        </w:rPr>
        <w:t xml:space="preserve"> [1]</w:t>
      </w:r>
      <w:r>
        <w:rPr>
          <w:rFonts w:ascii="Times New Roman" w:hAnsi="Times New Roman" w:eastAsia="宋体"/>
          <w:color w:val="auto"/>
          <w:sz w:val="20"/>
          <w:szCs w:val="20"/>
          <w:highlight w:val="none"/>
        </w:rPr>
        <w:t xml:space="preserve">, the following </w:t>
      </w:r>
      <w:r>
        <w:rPr>
          <w:rFonts w:hint="eastAsia" w:ascii="Times New Roman" w:hAnsi="Times New Roman" w:eastAsia="宋体"/>
          <w:color w:val="auto"/>
          <w:sz w:val="20"/>
          <w:szCs w:val="20"/>
          <w:highlight w:val="none"/>
        </w:rPr>
        <w:t xml:space="preserve">agreements </w:t>
      </w:r>
      <w:r>
        <w:rPr>
          <w:rFonts w:ascii="Times New Roman" w:hAnsi="Times New Roman" w:eastAsia="宋体"/>
          <w:color w:val="auto"/>
          <w:sz w:val="20"/>
          <w:szCs w:val="20"/>
          <w:highlight w:val="none"/>
        </w:rPr>
        <w:t xml:space="preserve">were </w:t>
      </w:r>
      <w:r>
        <w:rPr>
          <w:rFonts w:hint="eastAsia" w:ascii="Times New Roman" w:hAnsi="Times New Roman" w:eastAsia="宋体"/>
          <w:color w:val="auto"/>
          <w:sz w:val="20"/>
          <w:szCs w:val="20"/>
          <w:highlight w:val="none"/>
        </w:rPr>
        <w:t>made f</w:t>
      </w:r>
      <w:r>
        <w:rPr>
          <w:rFonts w:ascii="Times New Roman" w:hAnsi="Times New Roman" w:eastAsia="宋体"/>
          <w:color w:val="auto"/>
          <w:sz w:val="20"/>
          <w:szCs w:val="20"/>
          <w:highlight w:val="none"/>
        </w:rPr>
        <w:t xml:space="preserve">or </w:t>
      </w:r>
      <w:r>
        <w:rPr>
          <w:rFonts w:hint="eastAsia" w:ascii="Times New Roman" w:hAnsi="Times New Roman" w:eastAsia="宋体"/>
          <w:color w:val="auto"/>
          <w:sz w:val="20"/>
          <w:szCs w:val="20"/>
          <w:highlight w:val="none"/>
        </w:rPr>
        <w:t>carrier phase positioning</w:t>
      </w:r>
      <w:r>
        <w:rPr>
          <w:rFonts w:ascii="Times New Roman" w:hAnsi="Times New Roman" w:eastAsia="宋体"/>
          <w:color w:val="auto"/>
          <w:sz w:val="20"/>
          <w:szCs w:val="20"/>
          <w:highlight w:val="none"/>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bCs/>
                <w:color w:val="auto"/>
                <w:sz w:val="20"/>
                <w:szCs w:val="20"/>
                <w:highlight w:val="none"/>
                <w:lang w:eastAsia="zh-CN"/>
              </w:rPr>
            </w:pPr>
            <w:r>
              <w:rPr>
                <w:rFonts w:hint="default" w:ascii="Times New Roman" w:hAnsi="Times New Roman" w:cs="Times New Roman"/>
                <w:iCs/>
                <w:color w:val="auto"/>
                <w:sz w:val="20"/>
                <w:szCs w:val="20"/>
                <w:highlight w:val="none"/>
                <w:lang w:eastAsia="ja-JP"/>
              </w:rPr>
              <w:t>Support the following definition of the reference point of the UE/TRP carrier phase measurements</w:t>
            </w:r>
            <w:r>
              <w:rPr>
                <w:rFonts w:hint="default" w:ascii="Times New Roman" w:hAnsi="Times New Roman" w:cs="Times New Roman"/>
                <w:bCs/>
                <w:color w:val="auto"/>
                <w:sz w:val="20"/>
                <w:szCs w:val="20"/>
                <w:highlight w:val="none"/>
                <w:lang w:eastAsia="zh-CN"/>
              </w:rPr>
              <w:t xml:space="preserve">: </w:t>
            </w:r>
          </w:p>
          <w:p>
            <w:pPr>
              <w:keepNext w:val="0"/>
              <w:keepLines w:val="0"/>
              <w:pageBreakBefore w:val="0"/>
              <w:widowControl/>
              <w:numPr>
                <w:ilvl w:val="0"/>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The reference point of the UE carrier phase measurements is defined the same as the reference point of RSTD for both frequency range 1 and frequency range 2.</w:t>
            </w:r>
          </w:p>
          <w:p>
            <w:pPr>
              <w:keepNext w:val="0"/>
              <w:keepLines w:val="0"/>
              <w:pageBreakBefore w:val="0"/>
              <w:widowControl/>
              <w:numPr>
                <w:ilvl w:val="0"/>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The reference point of the TRP carrier phase measurements is defined the same as the reference point of RTOA for both frequency range 1 and frequency range 2.</w:t>
            </w:r>
          </w:p>
          <w:p>
            <w:pPr>
              <w:keepNext w:val="0"/>
              <w:keepLines w:val="0"/>
              <w:pageBreakBefore w:val="0"/>
              <w:widowControl/>
              <w:numPr>
                <w:ilvl w:val="0"/>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Note: It is up to UE/TRP’s implementation on how to map the carrier phase to the reference point for measurement reporting.</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bidi w:val="0"/>
              <w:adjustRightInd w:val="0"/>
              <w:snapToGrid w:val="0"/>
              <w:spacing w:after="0" w:line="240" w:lineRule="auto"/>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Adopt the following modifications on the agreements made in RAN1#112bis-e:</w:t>
            </w:r>
          </w:p>
          <w:p>
            <w:pPr>
              <w:keepNext w:val="0"/>
              <w:keepLines w:val="0"/>
              <w:pageBreakBefore w:val="0"/>
              <w:widowControl/>
              <w:kinsoku/>
              <w:wordWrap/>
              <w:overflowPunct/>
              <w:topLinePunct w:val="0"/>
              <w:bidi w:val="0"/>
              <w:adjustRightInd w:val="0"/>
              <w:snapToGrid w:val="0"/>
              <w:spacing w:after="0" w:line="240" w:lineRule="auto"/>
              <w:ind w:left="440" w:leftChars="200"/>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To enable simultaneous transmission of UL SRS for positioning by a target UE and a PRU, support the following enhancements:</w:t>
            </w:r>
          </w:p>
          <w:p>
            <w:pPr>
              <w:keepNext w:val="0"/>
              <w:keepLines w:val="0"/>
              <w:pageBreakBefore w:val="0"/>
              <w:widowControl/>
              <w:numPr>
                <w:ilvl w:val="0"/>
                <w:numId w:val="4"/>
              </w:numPr>
              <w:kinsoku/>
              <w:wordWrap/>
              <w:overflowPunct/>
              <w:topLinePunct w:val="0"/>
              <w:bidi w:val="0"/>
              <w:adjustRightInd w:val="0"/>
              <w:snapToGrid w:val="0"/>
              <w:spacing w:after="0" w:line="240" w:lineRule="auto"/>
              <w:ind w:left="904" w:leftChars="411"/>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Enabling LMF to request the serving gNB of a UE to configure the transmission of the UL SRS resources from the UE within indicated time window(s).</w:t>
            </w:r>
          </w:p>
          <w:p>
            <w:pPr>
              <w:keepNext w:val="0"/>
              <w:keepLines w:val="0"/>
              <w:pageBreakBefore w:val="0"/>
              <w:widowControl/>
              <w:numPr>
                <w:ilvl w:val="1"/>
                <w:numId w:val="4"/>
              </w:numPr>
              <w:kinsoku/>
              <w:wordWrap/>
              <w:overflowPunct/>
              <w:topLinePunct w:val="0"/>
              <w:bidi w:val="0"/>
              <w:adjustRightInd w:val="0"/>
              <w:snapToGrid w:val="0"/>
              <w:spacing w:after="0" w:line="240" w:lineRule="auto"/>
              <w:ind w:left="1696" w:leftChars="771"/>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FFS: the details of the time window, e.g., the start time, duration, periodicity for the time window(s), within the vicinity of a reference SRS configuration or use the existing message of Scheduled Location time</w:t>
            </w:r>
          </w:p>
          <w:p>
            <w:pPr>
              <w:keepNext w:val="0"/>
              <w:keepLines w:val="0"/>
              <w:pageBreakBefore w:val="0"/>
              <w:widowControl/>
              <w:numPr>
                <w:ilvl w:val="0"/>
                <w:numId w:val="4"/>
              </w:numPr>
              <w:kinsoku/>
              <w:wordWrap/>
              <w:overflowPunct/>
              <w:topLinePunct w:val="0"/>
              <w:bidi w:val="0"/>
              <w:adjustRightInd w:val="0"/>
              <w:snapToGrid w:val="0"/>
              <w:spacing w:after="0" w:line="240" w:lineRule="auto"/>
              <w:ind w:left="904" w:leftChars="411"/>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Enabling LMF to request the serving gNB and neighboring gNBs of the UE to measure the UL SRS resources from the UE within indicated time window(s).</w:t>
            </w:r>
          </w:p>
          <w:p>
            <w:pPr>
              <w:keepNext w:val="0"/>
              <w:keepLines w:val="0"/>
              <w:pageBreakBefore w:val="0"/>
              <w:widowControl/>
              <w:numPr>
                <w:ilvl w:val="1"/>
                <w:numId w:val="4"/>
              </w:numPr>
              <w:kinsoku/>
              <w:wordWrap/>
              <w:overflowPunct/>
              <w:topLinePunct w:val="0"/>
              <w:bidi w:val="0"/>
              <w:adjustRightInd w:val="0"/>
              <w:snapToGrid w:val="0"/>
              <w:spacing w:after="0" w:line="240" w:lineRule="auto"/>
              <w:ind w:left="1696" w:leftChars="771"/>
              <w:contextualSpacing/>
              <w:textAlignment w:val="auto"/>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ja-JP"/>
              </w:rPr>
              <w:t>Note: this may be a different indicated time window</w:t>
            </w:r>
          </w:p>
          <w:p>
            <w:pPr>
              <w:keepNext w:val="0"/>
              <w:keepLines w:val="0"/>
              <w:pageBreakBefore w:val="0"/>
              <w:widowControl/>
              <w:kinsoku/>
              <w:wordWrap/>
              <w:overflowPunct/>
              <w:topLinePunct w:val="0"/>
              <w:bidi w:val="0"/>
              <w:adjustRightInd w:val="0"/>
              <w:snapToGrid w:val="0"/>
              <w:spacing w:after="0" w:line="240" w:lineRule="auto"/>
              <w:ind w:left="440" w:leftChars="200"/>
              <w:textAlignment w:val="auto"/>
              <w:rPr>
                <w:rFonts w:hint="default" w:ascii="Times New Roman" w:hAnsi="Times New Roman" w:cs="Times New Roman"/>
                <w:color w:val="auto"/>
                <w:sz w:val="20"/>
                <w:szCs w:val="20"/>
                <w:highlight w:val="none"/>
                <w:lang w:eastAsia="zh-CN"/>
              </w:rPr>
            </w:pPr>
          </w:p>
          <w:p>
            <w:pPr>
              <w:keepNext w:val="0"/>
              <w:keepLines w:val="0"/>
              <w:pageBreakBefore w:val="0"/>
              <w:widowControl/>
              <w:kinsoku/>
              <w:wordWrap/>
              <w:overflowPunct/>
              <w:topLinePunct w:val="0"/>
              <w:bidi w:val="0"/>
              <w:adjustRightInd w:val="0"/>
              <w:snapToGrid w:val="0"/>
              <w:spacing w:after="0" w:line="240" w:lineRule="auto"/>
              <w:ind w:left="440" w:leftChars="200"/>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To enable simultaneous measurements on same DL PRS by a target UE and a PRU, support the following enhancements:</w:t>
            </w:r>
          </w:p>
          <w:p>
            <w:pPr>
              <w:keepNext w:val="0"/>
              <w:keepLines w:val="0"/>
              <w:pageBreakBefore w:val="0"/>
              <w:widowControl/>
              <w:numPr>
                <w:ilvl w:val="0"/>
                <w:numId w:val="4"/>
              </w:numPr>
              <w:kinsoku/>
              <w:wordWrap/>
              <w:overflowPunct/>
              <w:topLinePunct w:val="0"/>
              <w:bidi w:val="0"/>
              <w:adjustRightInd w:val="0"/>
              <w:snapToGrid w:val="0"/>
              <w:spacing w:after="0" w:line="240" w:lineRule="auto"/>
              <w:ind w:left="904" w:leftChars="411"/>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Enabling LMF to request the UEs, including target UE and PRU(s), to perform measurements on indicated DL PRS resource sets occurring within indicated time window(s).</w:t>
            </w:r>
          </w:p>
          <w:p>
            <w:pPr>
              <w:keepNext w:val="0"/>
              <w:keepLines w:val="0"/>
              <w:pageBreakBefore w:val="0"/>
              <w:widowControl/>
              <w:numPr>
                <w:ilvl w:val="0"/>
                <w:numId w:val="4"/>
              </w:numPr>
              <w:kinsoku/>
              <w:wordWrap/>
              <w:overflowPunct/>
              <w:topLinePunct w:val="0"/>
              <w:bidi w:val="0"/>
              <w:adjustRightInd w:val="0"/>
              <w:snapToGrid w:val="0"/>
              <w:spacing w:after="0" w:line="240" w:lineRule="auto"/>
              <w:ind w:left="904" w:leftChars="411"/>
              <w:contextualSpacing/>
              <w:textAlignment w:val="auto"/>
              <w:rPr>
                <w:rFonts w:hint="default" w:ascii="Times New Roman" w:hAnsi="Times New Roman" w:cs="Times New Roman"/>
                <w:color w:val="auto"/>
                <w:sz w:val="20"/>
                <w:szCs w:val="20"/>
                <w:highlight w:val="none"/>
                <w:lang w:eastAsia="ja-JP"/>
              </w:rPr>
            </w:pPr>
            <w:r>
              <w:rPr>
                <w:rFonts w:hint="default" w:ascii="Times New Roman" w:hAnsi="Times New Roman" w:cs="Times New Roman"/>
                <w:color w:val="auto"/>
                <w:sz w:val="20"/>
                <w:szCs w:val="20"/>
                <w:highlight w:val="none"/>
                <w:lang w:eastAsia="ja-JP"/>
              </w:rPr>
              <w:t>FFS: the details of the configuration of the indicated time window(s), e.g., the start time, duration, periodicity for the time window(s), as well as the relationship with the Scheduled Location time.</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bidi w:val="0"/>
              <w:adjustRightInd w:val="0"/>
              <w:snapToGrid w:val="0"/>
              <w:spacing w:after="0" w:line="240" w:lineRule="auto"/>
              <w:contextualSpacing/>
              <w:textAlignment w:val="auto"/>
              <w:rPr>
                <w:rFonts w:hint="default" w:ascii="Times New Roman" w:hAnsi="Times New Roman" w:cs="Times New Roman"/>
                <w:iCs/>
                <w:color w:val="auto"/>
                <w:sz w:val="20"/>
                <w:szCs w:val="20"/>
                <w:highlight w:val="none"/>
                <w:lang w:val="en-CA"/>
              </w:rPr>
            </w:pPr>
            <w:r>
              <w:rPr>
                <w:rFonts w:hint="default" w:ascii="Times New Roman" w:hAnsi="Times New Roman" w:cs="Times New Roman"/>
                <w:iCs/>
                <w:color w:val="auto"/>
                <w:sz w:val="20"/>
                <w:szCs w:val="20"/>
                <w:highlight w:val="none"/>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pPr>
              <w:keepNext w:val="0"/>
              <w:keepLines w:val="0"/>
              <w:pageBreakBefore w:val="0"/>
              <w:widowControl/>
              <w:numPr>
                <w:ilvl w:val="0"/>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Note: Whether the forwarded DL carrier phase measurement is DL RSCP and/or DL RSCPD depends at least on which of them is (are) supported by UE capability.</w:t>
            </w:r>
          </w:p>
          <w:p>
            <w:pPr>
              <w:keepNext w:val="0"/>
              <w:keepLines w:val="0"/>
              <w:pageBreakBefore w:val="0"/>
              <w:widowControl/>
              <w:numPr>
                <w:ilvl w:val="0"/>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 xml:space="preserve">additional information of the same PRU includes at least PRU location. </w:t>
            </w:r>
          </w:p>
          <w:p>
            <w:pPr>
              <w:keepNext w:val="0"/>
              <w:keepLines w:val="0"/>
              <w:pageBreakBefore w:val="0"/>
              <w:widowControl/>
              <w:numPr>
                <w:ilvl w:val="1"/>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FFS: additional PRU information, e.g. the AoD of PRU to each TRP, etc.</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bidi w:val="0"/>
              <w:adjustRightInd w:val="0"/>
              <w:snapToGrid w:val="0"/>
              <w:spacing w:after="0" w:line="240" w:lineRule="auto"/>
              <w:contextualSpacing/>
              <w:textAlignment w:val="auto"/>
              <w:rPr>
                <w:rFonts w:hint="default" w:ascii="Times New Roman" w:hAnsi="Times New Roman" w:cs="Times New Roman"/>
                <w:iCs/>
                <w:color w:val="auto"/>
                <w:sz w:val="20"/>
                <w:szCs w:val="20"/>
                <w:highlight w:val="none"/>
                <w:lang w:val="en-CA"/>
              </w:rPr>
            </w:pPr>
            <w:r>
              <w:rPr>
                <w:rFonts w:hint="default" w:ascii="Times New Roman" w:hAnsi="Times New Roman" w:cs="Times New Roman"/>
                <w:iCs/>
                <w:color w:val="auto"/>
                <w:sz w:val="20"/>
                <w:szCs w:val="20"/>
                <w:highlight w:val="none"/>
                <w:lang w:val="en-CA"/>
              </w:rPr>
              <w:t>If a UE reports RSCPD measurements together with RSTD measurements in a measurement report element, the reference TRP for RSCPD is the same as the reference TRP reported for RSTD.</w:t>
            </w:r>
          </w:p>
          <w:p>
            <w:pPr>
              <w:keepNext w:val="0"/>
              <w:keepLines w:val="0"/>
              <w:pageBreakBefore w:val="0"/>
              <w:widowControl/>
              <w:numPr>
                <w:ilvl w:val="0"/>
                <w:numId w:val="3"/>
              </w:numPr>
              <w:kinsoku/>
              <w:wordWrap/>
              <w:overflowPunct/>
              <w:topLinePunct w:val="0"/>
              <w:bidi w:val="0"/>
              <w:adjustRightInd w:val="0"/>
              <w:snapToGrid w:val="0"/>
              <w:spacing w:after="0" w:line="240" w:lineRule="auto"/>
              <w:textAlignment w:val="auto"/>
              <w:rPr>
                <w:rFonts w:hint="default" w:ascii="Times New Roman" w:hAnsi="Times New Roman" w:eastAsia="Calibri" w:cs="Times New Roman"/>
                <w:iCs/>
                <w:color w:val="auto"/>
                <w:sz w:val="20"/>
                <w:szCs w:val="20"/>
                <w:highlight w:val="none"/>
              </w:rPr>
            </w:pPr>
            <w:r>
              <w:rPr>
                <w:rFonts w:hint="default" w:ascii="Times New Roman" w:hAnsi="Times New Roman" w:eastAsia="Calibri" w:cs="Times New Roman"/>
                <w:iCs/>
                <w:color w:val="auto"/>
                <w:sz w:val="20"/>
                <w:szCs w:val="20"/>
                <w:highlight w:val="none"/>
              </w:rPr>
              <w:t>The target and the reference TRP are in the same PFL</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From RAN1’s perspective, carrier phase positioning for UE in RRC_IDLE state is supported for UE-based and UE-assisted positioning in Rel-18.</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rPr>
            </w:pPr>
            <w:r>
              <w:rPr>
                <w:rFonts w:hint="default" w:ascii="Times New Roman" w:hAnsi="Times New Roman" w:eastAsia="宋体" w:cs="Times New Roman"/>
                <w:iCs/>
                <w:color w:val="auto"/>
                <w:sz w:val="20"/>
                <w:szCs w:val="20"/>
                <w:highlight w:val="none"/>
              </w:rPr>
              <w:t xml:space="preserve">Note: No additional specification work is expected specifically related to </w:t>
            </w:r>
            <w:r>
              <w:rPr>
                <w:rFonts w:hint="default" w:ascii="Times New Roman" w:hAnsi="Times New Roman" w:eastAsia="宋体" w:cs="Times New Roman"/>
                <w:iCs/>
                <w:color w:val="auto"/>
                <w:sz w:val="20"/>
                <w:szCs w:val="20"/>
                <w:highlight w:val="none"/>
                <w:lang w:val="en-US"/>
              </w:rPr>
              <w:t>carrier phase positioning for UE in RRC_IDLE state in RAN1.</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Conclusion</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r>
              <w:rPr>
                <w:rFonts w:hint="default" w:ascii="Times New Roman" w:hAnsi="Times New Roman" w:cs="Times New Roman"/>
                <w:iCs/>
                <w:color w:val="auto"/>
                <w:sz w:val="20"/>
                <w:szCs w:val="20"/>
                <w:highlight w:val="none"/>
              </w:rPr>
              <w:t>From RAN1’s perspective, carrier phase positioning for UE in RRC_CONNECTED state without measurement gap is not supported in Rel-18.</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Working assumption</w:t>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To enable LMF to optionally request the serving gNB of a UE to configure the transmission of the UL positioning SRS resources from the UE within indicated time window(s), support:</w:t>
            </w:r>
          </w:p>
          <w:p>
            <w:pPr>
              <w:keepNext w:val="0"/>
              <w:keepLines w:val="0"/>
              <w:pageBreakBefore w:val="0"/>
              <w:widowControl/>
              <w:numPr>
                <w:ilvl w:val="0"/>
                <w:numId w:val="6"/>
              </w:numPr>
              <w:kinsoku/>
              <w:wordWrap/>
              <w:overflowPunct/>
              <w:topLinePunct w:val="0"/>
              <w:bidi w:val="0"/>
              <w:adjustRightInd w:val="0"/>
              <w:snapToGrid w:val="0"/>
              <w:spacing w:after="0" w:line="240" w:lineRule="auto"/>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cs="Times New Roman"/>
                <w:iCs/>
                <w:color w:val="auto"/>
                <w:sz w:val="20"/>
                <w:szCs w:val="20"/>
                <w:highlight w:val="none"/>
                <w:lang w:eastAsia="zh-CN"/>
              </w:rPr>
              <w:t>Option 1D: Each of the time windows is defined with the following parameters:</w:t>
            </w:r>
          </w:p>
          <w:p>
            <w:pPr>
              <w:keepNext w:val="0"/>
              <w:keepLines w:val="0"/>
              <w:pageBreakBefore w:val="0"/>
              <w:widowControl/>
              <w:numPr>
                <w:ilvl w:val="1"/>
                <w:numId w:val="7"/>
              </w:numPr>
              <w:kinsoku/>
              <w:wordWrap/>
              <w:overflowPunct/>
              <w:topLinePunct w:val="0"/>
              <w:bidi w:val="0"/>
              <w:adjustRightInd w:val="0"/>
              <w:snapToGrid w:val="0"/>
              <w:spacing w:after="0" w:line="240" w:lineRule="auto"/>
              <w:textAlignment w:val="auto"/>
              <w:rPr>
                <w:rFonts w:hint="default" w:ascii="Times New Roman" w:hAnsi="Times New Roman" w:cs="Times New Roman"/>
                <w:iCs/>
                <w:color w:val="auto"/>
                <w:sz w:val="20"/>
                <w:szCs w:val="20"/>
                <w:highlight w:val="none"/>
                <w:lang w:eastAsia="zh-CN"/>
              </w:rPr>
            </w:pPr>
            <w:r>
              <w:rPr>
                <w:rFonts w:hint="default" w:ascii="Times New Roman" w:hAnsi="Times New Roman" w:cs="Times New Roman"/>
                <w:iCs/>
                <w:color w:val="auto"/>
                <w:sz w:val="20"/>
                <w:szCs w:val="20"/>
                <w:highlight w:val="none"/>
                <w:lang w:eastAsia="zh-CN"/>
              </w:rPr>
              <w:t>The start of the time window, which is indicated by a combination of subframe number, slot offset and symbol index with respect to the SFN initialization time</w:t>
            </w:r>
          </w:p>
          <w:p>
            <w:pPr>
              <w:keepNext w:val="0"/>
              <w:keepLines w:val="0"/>
              <w:pageBreakBefore w:val="0"/>
              <w:widowControl/>
              <w:numPr>
                <w:ilvl w:val="1"/>
                <w:numId w:val="7"/>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The duration of the time window, which is given by a number of consecutive slots/symbols</w:t>
            </w:r>
          </w:p>
          <w:p>
            <w:pPr>
              <w:keepNext w:val="0"/>
              <w:keepLines w:val="0"/>
              <w:pageBreakBefore w:val="0"/>
              <w:widowControl/>
              <w:numPr>
                <w:ilvl w:val="2"/>
                <w:numId w:val="7"/>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FFS: the number of the consecutive slots/symbols</w:t>
            </w:r>
          </w:p>
          <w:p>
            <w:pPr>
              <w:keepNext w:val="0"/>
              <w:keepLines w:val="0"/>
              <w:pageBreakBefore w:val="0"/>
              <w:widowControl/>
              <w:numPr>
                <w:ilvl w:val="1"/>
                <w:numId w:val="7"/>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(Optional) The periodicity of the time window, which is defined similar to IE PeriodicitySRS in “Requested SRS Transmission Characteristics” in TS 38.455.</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FFS: the maximum number of the windows</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p>
          <w:p>
            <w:pPr>
              <w:adjustRightInd w:val="0"/>
              <w:snapToGrid w:val="0"/>
              <w:spacing w:after="0" w:line="240" w:lineRule="auto"/>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iCs/>
                <w:color w:val="auto"/>
                <w:sz w:val="20"/>
                <w:szCs w:val="20"/>
                <w:highlight w:val="none"/>
              </w:rPr>
            </w:pPr>
            <w:r>
              <w:rPr>
                <w:rFonts w:hint="default" w:ascii="Times New Roman" w:hAnsi="Times New Roman" w:cs="Times New Roman"/>
                <w:iCs/>
                <w:color w:val="auto"/>
                <w:sz w:val="20"/>
                <w:szCs w:val="20"/>
                <w:highlight w:val="none"/>
              </w:rPr>
              <w:t>To enable LMF to request the serving gNB and neighboring gNBs of a UE to measure the UL SRS resources from the UE within indicated time window(s), each time window is defined with the following parameters:</w:t>
            </w:r>
          </w:p>
          <w:p>
            <w:pPr>
              <w:keepNext w:val="0"/>
              <w:keepLines w:val="0"/>
              <w:pageBreakBefore w:val="0"/>
              <w:widowControl/>
              <w:numPr>
                <w:ilvl w:val="0"/>
                <w:numId w:val="8"/>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rPr>
              <w:t xml:space="preserve">The start </w:t>
            </w:r>
            <w:r>
              <w:rPr>
                <w:rFonts w:hint="default" w:ascii="Times New Roman" w:hAnsi="Times New Roman" w:eastAsia="宋体" w:cs="Times New Roman"/>
                <w:iCs/>
                <w:color w:val="auto"/>
                <w:sz w:val="20"/>
                <w:szCs w:val="20"/>
                <w:highlight w:val="none"/>
                <w:lang w:val="en-US"/>
              </w:rPr>
              <w:t>of the time window, which is indicated by a combination of subframe number, slot offset and symbol index with respect to the SFN initialization time</w:t>
            </w:r>
          </w:p>
          <w:p>
            <w:pPr>
              <w:keepNext w:val="0"/>
              <w:keepLines w:val="0"/>
              <w:pageBreakBefore w:val="0"/>
              <w:widowControl/>
              <w:numPr>
                <w:ilvl w:val="0"/>
                <w:numId w:val="8"/>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The duration of the time window, which is given by a number of consecutive slots/symbols</w:t>
            </w:r>
          </w:p>
          <w:p>
            <w:pPr>
              <w:keepNext w:val="0"/>
              <w:keepLines w:val="0"/>
              <w:pageBreakBefore w:val="0"/>
              <w:widowControl/>
              <w:numPr>
                <w:ilvl w:val="1"/>
                <w:numId w:val="8"/>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FFS: the number of consecutive slots/symbols</w:t>
            </w:r>
          </w:p>
          <w:p>
            <w:pPr>
              <w:keepNext w:val="0"/>
              <w:keepLines w:val="0"/>
              <w:pageBreakBefore w:val="0"/>
              <w:widowControl/>
              <w:numPr>
                <w:ilvl w:val="0"/>
                <w:numId w:val="8"/>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(Optional) The periodicity of the time window, which is defined similar to IE Measurement Periodicity in MEASUREMENT REQUEST in TS 38.455.</w:t>
            </w:r>
          </w:p>
          <w:p>
            <w:pPr>
              <w:keepNext w:val="0"/>
              <w:keepLines w:val="0"/>
              <w:pageBreakBefore w:val="0"/>
              <w:widowControl/>
              <w:numPr>
                <w:ilvl w:val="0"/>
                <w:numId w:val="8"/>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FFS: the maximum number of the windows</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color w:val="auto"/>
                <w:sz w:val="20"/>
                <w:szCs w:val="20"/>
                <w:highlight w:val="none"/>
                <w:lang w:val="en-US" w:eastAsia="zh-CN"/>
              </w:rPr>
            </w:pPr>
          </w:p>
          <w:p>
            <w:pPr>
              <w:adjustRightInd w:val="0"/>
              <w:snapToGrid w:val="0"/>
              <w:spacing w:after="0" w:line="240" w:lineRule="auto"/>
              <w:rPr>
                <w:rFonts w:hint="default" w:ascii="Times New Roman" w:hAnsi="Times New Roman"/>
                <w:b/>
                <w:color w:val="auto"/>
                <w:sz w:val="20"/>
                <w:szCs w:val="20"/>
                <w:highlight w:val="none"/>
                <w:u w:val="single"/>
                <w:lang w:val="en-US" w:eastAsia="zh-CN"/>
              </w:rPr>
            </w:pPr>
            <w:r>
              <w:rPr>
                <w:rFonts w:hint="default" w:ascii="Times New Roman" w:hAnsi="Times New Roman"/>
                <w:b/>
                <w:color w:val="auto"/>
                <w:sz w:val="20"/>
                <w:szCs w:val="20"/>
                <w:highlight w:val="none"/>
                <w:u w:val="single"/>
                <w:lang w:val="en-US" w:eastAsia="zh-CN"/>
              </w:rPr>
              <w:t>Agreement</w:t>
            </w:r>
          </w:p>
          <w:p>
            <w:pPr>
              <w:keepNext w:val="0"/>
              <w:keepLines w:val="0"/>
              <w:pageBreakBefore w:val="0"/>
              <w:widowControl/>
              <w:kinsoku/>
              <w:wordWrap/>
              <w:overflowPunct/>
              <w:topLinePunct w:val="0"/>
              <w:bidi w:val="0"/>
              <w:adjustRightInd w:val="0"/>
              <w:snapToGrid w:val="0"/>
              <w:spacing w:after="0" w:line="240" w:lineRule="auto"/>
              <w:textAlignment w:val="auto"/>
              <w:rPr>
                <w:rFonts w:hint="default" w:ascii="Times New Roman" w:hAnsi="Times New Roman" w:cs="Times New Roman"/>
                <w:iCs/>
                <w:color w:val="auto"/>
                <w:sz w:val="20"/>
                <w:szCs w:val="20"/>
                <w:highlight w:val="none"/>
              </w:rPr>
            </w:pPr>
            <w:r>
              <w:rPr>
                <w:rFonts w:hint="default" w:ascii="Times New Roman" w:hAnsi="Times New Roman" w:cs="Times New Roman"/>
                <w:iCs/>
                <w:color w:val="auto"/>
                <w:sz w:val="20"/>
                <w:szCs w:val="20"/>
                <w:highlight w:val="none"/>
              </w:rPr>
              <w:t>To enable LMF to request the UEs, including target UE and PRU(s), to perform measurements on indicated DL PRS resource set(s) occurring within indicated time window(s), each time window is defined with the following parameters:</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rPr>
              <w:t xml:space="preserve">The start </w:t>
            </w:r>
            <w:r>
              <w:rPr>
                <w:rFonts w:hint="default" w:ascii="Times New Roman" w:hAnsi="Times New Roman" w:eastAsia="宋体" w:cs="Times New Roman"/>
                <w:iCs/>
                <w:color w:val="auto"/>
                <w:sz w:val="20"/>
                <w:szCs w:val="20"/>
                <w:highlight w:val="none"/>
                <w:lang w:val="en-US"/>
              </w:rPr>
              <w:t>of the time window, which is indicated by a combination of subframe number, slot offset and symbol index</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The duration of the time window, which is given by a number of consecutive slots/symbols</w:t>
            </w:r>
          </w:p>
          <w:p>
            <w:pPr>
              <w:keepNext w:val="0"/>
              <w:keepLines w:val="0"/>
              <w:pageBreakBefore w:val="0"/>
              <w:widowControl/>
              <w:numPr>
                <w:ilvl w:val="1"/>
                <w:numId w:val="9"/>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iCs/>
                <w:color w:val="auto"/>
                <w:sz w:val="20"/>
                <w:szCs w:val="20"/>
                <w:highlight w:val="none"/>
                <w:lang w:val="en-US"/>
              </w:rPr>
            </w:pPr>
            <w:r>
              <w:rPr>
                <w:rFonts w:hint="default" w:ascii="Times New Roman" w:hAnsi="Times New Roman" w:eastAsia="宋体" w:cs="Times New Roman"/>
                <w:iCs/>
                <w:color w:val="auto"/>
                <w:sz w:val="20"/>
                <w:szCs w:val="20"/>
                <w:highlight w:val="none"/>
                <w:lang w:val="en-US"/>
              </w:rPr>
              <w:t>FFS: the number of consecutive slots/symbols</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line="240" w:lineRule="auto"/>
              <w:jc w:val="both"/>
              <w:textAlignment w:val="auto"/>
              <w:rPr>
                <w:rFonts w:ascii="Times New Roman" w:hAnsi="Times New Roman" w:eastAsia="宋体"/>
                <w:iCs/>
                <w:color w:val="auto"/>
                <w:szCs w:val="20"/>
                <w:highlight w:val="none"/>
                <w:lang w:val="en-US"/>
              </w:rPr>
            </w:pPr>
            <w:r>
              <w:rPr>
                <w:rFonts w:hint="default" w:ascii="Times New Roman" w:hAnsi="Times New Roman" w:eastAsia="宋体" w:cs="Times New Roman"/>
                <w:iCs/>
                <w:color w:val="auto"/>
                <w:sz w:val="20"/>
                <w:szCs w:val="20"/>
                <w:highlight w:val="none"/>
                <w:lang w:val="en-US"/>
              </w:rPr>
              <w:t>(Optional) The periodicity of the time window, which is defined similar to IE NR-DL-PRS-Periodicity-and-ResourceSetSlotOffset in TS 37.355.</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line="240" w:lineRule="auto"/>
              <w:jc w:val="both"/>
              <w:textAlignment w:val="auto"/>
              <w:rPr>
                <w:rFonts w:ascii="Times New Roman" w:hAnsi="Times New Roman" w:eastAsia="宋体"/>
                <w:iCs/>
                <w:color w:val="auto"/>
                <w:szCs w:val="20"/>
                <w:highlight w:val="none"/>
                <w:lang w:val="en-US"/>
              </w:rPr>
            </w:pPr>
            <w:r>
              <w:rPr>
                <w:rFonts w:hint="default" w:ascii="Times New Roman" w:hAnsi="Times New Roman" w:eastAsia="宋体" w:cs="Times New Roman"/>
                <w:iCs/>
                <w:color w:val="auto"/>
                <w:sz w:val="20"/>
                <w:szCs w:val="20"/>
                <w:highlight w:val="none"/>
                <w:lang w:val="en-US"/>
              </w:rPr>
              <w:t>FFS: the maximum number of the windows</w:t>
            </w:r>
          </w:p>
        </w:tc>
      </w:tr>
    </w:tbl>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ascii="Times New Roman" w:hAnsi="Times New Roman" w:eastAsia="宋体"/>
          <w:sz w:val="20"/>
          <w:szCs w:val="20"/>
          <w:highlight w:val="none"/>
        </w:rPr>
        <w:t>In this contribution, we provide our views on carrier phase positioning techniques from RAN1 perspective.</w:t>
      </w:r>
    </w:p>
    <w:p>
      <w:pPr>
        <w:pStyle w:val="2"/>
        <w:snapToGrid w:val="0"/>
        <w:spacing w:before="120" w:after="180" w:afterLines="50"/>
        <w:ind w:left="431" w:hanging="431"/>
        <w:jc w:val="both"/>
        <w:rPr>
          <w:highlight w:val="none"/>
          <w:lang w:val="en-US"/>
        </w:rPr>
      </w:pPr>
      <w:r>
        <w:rPr>
          <w:rFonts w:hint="eastAsia" w:ascii="Times New Roman" w:hAnsi="Times New Roman"/>
          <w:sz w:val="28"/>
          <w:highlight w:val="none"/>
          <w:lang w:val="en-US"/>
        </w:rPr>
        <w:t>Physical layer measurement and s</w:t>
      </w:r>
      <w:r>
        <w:rPr>
          <w:rFonts w:ascii="Times New Roman" w:hAnsi="Times New Roman"/>
          <w:sz w:val="28"/>
          <w:highlight w:val="none"/>
          <w:lang w:val="en-US" w:eastAsia="ko-KR"/>
        </w:rPr>
        <w:t xml:space="preserve">ignalling </w:t>
      </w:r>
      <w:r>
        <w:rPr>
          <w:rFonts w:hint="eastAsia" w:ascii="Times New Roman" w:hAnsi="Times New Roman"/>
          <w:sz w:val="28"/>
          <w:highlight w:val="none"/>
          <w:lang w:val="en-US"/>
        </w:rPr>
        <w:t>for carrier phase positioning</w:t>
      </w:r>
    </w:p>
    <w:p>
      <w:pPr>
        <w:pStyle w:val="3"/>
        <w:snapToGrid w:val="0"/>
        <w:spacing w:line="240" w:lineRule="auto"/>
        <w:rPr>
          <w:sz w:val="24"/>
          <w:szCs w:val="24"/>
          <w:highlight w:val="none"/>
        </w:rPr>
      </w:pPr>
      <w:r>
        <w:rPr>
          <w:rFonts w:hint="eastAsia"/>
          <w:sz w:val="24"/>
          <w:szCs w:val="24"/>
          <w:highlight w:val="none"/>
        </w:rPr>
        <w:t>Carrier phase measurement report</w:t>
      </w:r>
    </w:p>
    <w:p>
      <w:pPr>
        <w:pStyle w:val="4"/>
        <w:numPr>
          <w:ilvl w:val="1"/>
          <w:numId w:val="0"/>
        </w:numPr>
        <w:ind w:left="220" w:leftChars="100"/>
        <w:rPr>
          <w:rFonts w:hint="default" w:ascii="Times New Roman" w:hAnsi="Times New Roman" w:cs="Times New Roman"/>
          <w:b/>
          <w:bCs/>
          <w:highlight w:val="none"/>
          <w:lang w:val="en-US"/>
        </w:rPr>
      </w:pPr>
      <w:r>
        <w:rPr>
          <w:rFonts w:hint="default" w:ascii="Times New Roman" w:hAnsi="Times New Roman" w:cs="Times New Roman"/>
          <w:b/>
          <w:bCs/>
          <w:highlight w:val="none"/>
          <w:lang w:val="en-US"/>
        </w:rPr>
        <w:t>2.</w:t>
      </w:r>
      <w:r>
        <w:rPr>
          <w:rFonts w:hint="default" w:ascii="Times New Roman" w:hAnsi="Times New Roman" w:cs="Times New Roman"/>
          <w:b/>
          <w:bCs/>
          <w:highlight w:val="none"/>
          <w:lang w:val="en-US" w:eastAsia="zh-CN"/>
        </w:rPr>
        <w:t>1</w:t>
      </w:r>
      <w:r>
        <w:rPr>
          <w:rFonts w:hint="default" w:ascii="Times New Roman" w:hAnsi="Times New Roman" w:cs="Times New Roman"/>
          <w:b/>
          <w:bCs/>
          <w:highlight w:val="none"/>
          <w:lang w:val="en-US"/>
        </w:rPr>
        <w:t xml:space="preserve">.1 </w:t>
      </w:r>
      <w:r>
        <w:rPr>
          <w:rFonts w:hint="default" w:ascii="Times New Roman" w:hAnsi="Times New Roman" w:cs="Times New Roman"/>
          <w:b/>
          <w:bCs/>
          <w:highlight w:val="none"/>
          <w:lang w:val="en-US" w:eastAsia="zh-CN"/>
        </w:rPr>
        <w:t>Carrier phase measurement report timestamp</w:t>
      </w:r>
      <w:r>
        <w:rPr>
          <w:rFonts w:hint="default" w:ascii="Times New Roman" w:hAnsi="Times New Roman" w:cs="Times New Roman"/>
          <w:b/>
          <w:bCs/>
          <w:highlight w:val="none"/>
          <w:lang w:val="en-US"/>
        </w:rPr>
        <w:t xml:space="preserve"> </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the timestamp of </w:t>
      </w:r>
      <w:r>
        <w:rPr>
          <w:rFonts w:ascii="Times New Roman" w:hAnsi="Times New Roman"/>
          <w:bCs/>
          <w:iCs/>
          <w:sz w:val="20"/>
          <w:szCs w:val="20"/>
          <w:highlight w:val="none"/>
          <w:lang w:eastAsia="ja-JP"/>
        </w:rPr>
        <w:t>RSCP/RSCPD measurement</w:t>
      </w:r>
      <w:r>
        <w:rPr>
          <w:rFonts w:hint="eastAsia" w:ascii="Times New Roman" w:hAnsi="Times New Roman" w:eastAsia="宋体"/>
          <w:sz w:val="20"/>
          <w:szCs w:val="20"/>
          <w:highlight w:val="none"/>
        </w:rPr>
        <w:t xml:space="preserve">, </w:t>
      </w:r>
      <w:r>
        <w:rPr>
          <w:rFonts w:ascii="Times New Roman" w:hAnsi="Times New Roman" w:eastAsia="宋体"/>
          <w:sz w:val="20"/>
          <w:szCs w:val="20"/>
          <w:highlight w:val="none"/>
        </w:rPr>
        <w:t xml:space="preserve">the following </w:t>
      </w:r>
      <w:r>
        <w:rPr>
          <w:rFonts w:hint="eastAsia" w:ascii="Times New Roman" w:hAnsi="Times New Roman" w:eastAsia="宋体"/>
          <w:sz w:val="20"/>
          <w:szCs w:val="20"/>
          <w:highlight w:val="none"/>
        </w:rPr>
        <w:t>agreement was achieved in 3GPP TSG RAN WG1#112bis-e [</w:t>
      </w:r>
      <w:r>
        <w:rPr>
          <w:rFonts w:hint="eastAsia" w:ascii="Times New Roman" w:hAnsi="Times New Roman" w:eastAsia="宋体"/>
          <w:sz w:val="20"/>
          <w:szCs w:val="20"/>
          <w:highlight w:val="none"/>
          <w:lang w:val="en-US" w:eastAsia="zh-CN"/>
        </w:rPr>
        <w:t>2</w:t>
      </w:r>
      <w:r>
        <w:rPr>
          <w:rFonts w:hint="eastAsia" w:ascii="Times New Roman" w:hAnsi="Times New Roman" w:eastAsia="宋体"/>
          <w:sz w:val="20"/>
          <w:szCs w:val="20"/>
          <w:highlight w:val="none"/>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Cs/>
                <w:sz w:val="20"/>
                <w:szCs w:val="20"/>
                <w:highlight w:val="none"/>
              </w:rPr>
            </w:pPr>
            <w:r>
              <w:rPr>
                <w:rFonts w:ascii="Times New Roman" w:hAnsi="Times New Roman"/>
                <w:b/>
                <w:sz w:val="20"/>
                <w:szCs w:val="20"/>
                <w:highlight w:val="none"/>
                <w:u w:val="single"/>
              </w:rPr>
              <w:t>Agreement</w:t>
            </w:r>
          </w:p>
          <w:p>
            <w:pPr>
              <w:adjustRightInd w:val="0"/>
              <w:snapToGrid w:val="0"/>
              <w:spacing w:after="0" w:line="240" w:lineRule="auto"/>
              <w:rPr>
                <w:rFonts w:ascii="Times New Roman" w:hAnsi="Times New Roman"/>
                <w:bCs/>
                <w:i/>
                <w:iCs/>
                <w:sz w:val="20"/>
                <w:szCs w:val="20"/>
                <w:highlight w:val="none"/>
              </w:rPr>
            </w:pPr>
            <w:r>
              <w:rPr>
                <w:rFonts w:ascii="Times New Roman" w:hAnsi="Times New Roman"/>
                <w:bCs/>
                <w:iCs/>
                <w:sz w:val="20"/>
                <w:szCs w:val="20"/>
                <w:highlight w:val="none"/>
                <w:lang w:eastAsia="ja-JP"/>
              </w:rPr>
              <w:t xml:space="preserve">Adopt one of the following options for a timestamp associated with a </w:t>
            </w:r>
            <w:r>
              <w:rPr>
                <w:rFonts w:ascii="Times New Roman" w:hAnsi="Times New Roman"/>
                <w:bCs/>
                <w:iCs/>
                <w:sz w:val="20"/>
                <w:szCs w:val="20"/>
                <w:highlight w:val="none"/>
              </w:rPr>
              <w:t xml:space="preserve">reported </w:t>
            </w:r>
            <w:r>
              <w:rPr>
                <w:rFonts w:ascii="Times New Roman" w:hAnsi="Times New Roman"/>
                <w:bCs/>
                <w:iCs/>
                <w:sz w:val="20"/>
                <w:szCs w:val="20"/>
                <w:highlight w:val="none"/>
                <w:lang w:eastAsia="ja-JP"/>
              </w:rPr>
              <w:t>RSCP/RSCPD measurement (make the decision in RAN1#113):</w:t>
            </w:r>
            <w:r>
              <w:rPr>
                <w:rFonts w:ascii="Times New Roman" w:hAnsi="Times New Roman"/>
                <w:bCs/>
                <w:i/>
                <w:iCs/>
                <w:sz w:val="20"/>
                <w:szCs w:val="20"/>
                <w:highlight w:val="none"/>
              </w:rPr>
              <w:t xml:space="preserve"> </w:t>
            </w:r>
          </w:p>
          <w:p>
            <w:pPr>
              <w:numPr>
                <w:ilvl w:val="0"/>
                <w:numId w:val="4"/>
              </w:numPr>
              <w:adjustRightInd w:val="0"/>
              <w:snapToGrid w:val="0"/>
              <w:spacing w:after="0" w:line="240" w:lineRule="auto"/>
              <w:contextualSpacing/>
              <w:rPr>
                <w:rFonts w:ascii="Times New Roman" w:hAnsi="Times New Roman"/>
                <w:bCs/>
                <w:iCs/>
                <w:sz w:val="20"/>
                <w:szCs w:val="20"/>
                <w:highlight w:val="none"/>
                <w:lang w:eastAsia="ja-JP"/>
              </w:rPr>
            </w:pPr>
            <w:r>
              <w:rPr>
                <w:rFonts w:ascii="Times New Roman" w:hAnsi="Times New Roman"/>
                <w:bCs/>
                <w:sz w:val="20"/>
                <w:szCs w:val="20"/>
                <w:highlight w:val="none"/>
              </w:rPr>
              <w:t>Option 1:</w:t>
            </w:r>
          </w:p>
          <w:p>
            <w:pPr>
              <w:numPr>
                <w:ilvl w:val="1"/>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iCs/>
                <w:sz w:val="20"/>
                <w:szCs w:val="20"/>
                <w:highlight w:val="none"/>
              </w:rPr>
              <w:t xml:space="preserve">NR-TimeStamp, currently defined in TS 37.355, is reused as the timestamp with the granularity of a slot. </w:t>
            </w:r>
          </w:p>
          <w:p>
            <w:pPr>
              <w:numPr>
                <w:ilvl w:val="1"/>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iCs/>
                <w:sz w:val="20"/>
                <w:szCs w:val="20"/>
                <w:highlight w:val="none"/>
              </w:rPr>
              <w:t>FFS: Whether to clarify in the specification the reported RSCP/RSCPD value presents the RSCP/RSCPD of a specific OFDM symbol within the slot identified by the NR-TimeStamp.</w:t>
            </w:r>
          </w:p>
          <w:p>
            <w:pPr>
              <w:numPr>
                <w:ilvl w:val="0"/>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iCs/>
                <w:sz w:val="20"/>
                <w:szCs w:val="20"/>
                <w:highlight w:val="none"/>
              </w:rPr>
              <w:t>Option 2:</w:t>
            </w:r>
          </w:p>
          <w:p>
            <w:pPr>
              <w:numPr>
                <w:ilvl w:val="1"/>
                <w:numId w:val="4"/>
              </w:numPr>
              <w:adjustRightInd w:val="0"/>
              <w:snapToGrid w:val="0"/>
              <w:spacing w:after="0" w:line="240" w:lineRule="auto"/>
              <w:contextualSpacing/>
              <w:rPr>
                <w:highlight w:val="none"/>
              </w:rPr>
            </w:pPr>
            <w:r>
              <w:rPr>
                <w:rFonts w:ascii="Times New Roman" w:hAnsi="Times New Roman"/>
                <w:bCs/>
                <w:sz w:val="20"/>
                <w:szCs w:val="20"/>
                <w:highlight w:val="none"/>
              </w:rPr>
              <w:t>NR-TimeStamp, currently defined in TS 37.355, should be enhanced to include the OFDM symbol index in a slot, as the timestamp for RSCP/RSCPD measurements.</w:t>
            </w:r>
          </w:p>
        </w:tc>
      </w:tr>
    </w:tbl>
    <w:p>
      <w:pPr>
        <w:widowControl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In the last meeting, it was agreed that the carrier phase measurement result can be reported together with other measurement results. Keeping this in mind, the current timestamp in TS 37.355 should be supported and reused for carrier phase measurement for better compatibility, it</w:t>
      </w:r>
      <w:r>
        <w:rPr>
          <w:rFonts w:ascii="Times New Roman" w:hAnsi="Times New Roman"/>
          <w:sz w:val="20"/>
          <w:szCs w:val="20"/>
          <w:highlight w:val="none"/>
        </w:rPr>
        <w:t>’</w:t>
      </w:r>
      <w:r>
        <w:rPr>
          <w:rFonts w:hint="eastAsia" w:ascii="Times New Roman" w:hAnsi="Times New Roman"/>
          <w:sz w:val="20"/>
          <w:szCs w:val="20"/>
          <w:highlight w:val="none"/>
        </w:rPr>
        <w:t xml:space="preserve">s more reasonable to use the same timestamp definition with other legacy positioning methods. </w:t>
      </w:r>
    </w:p>
    <w:p>
      <w:pPr>
        <w:widowControl w:val="0"/>
        <w:snapToGrid w:val="0"/>
        <w:spacing w:before="180" w:beforeLines="50" w:after="180" w:afterLines="50" w:line="240" w:lineRule="auto"/>
        <w:jc w:val="center"/>
        <w:rPr>
          <w:highlight w:val="none"/>
        </w:rPr>
      </w:pPr>
      <w:r>
        <w:rPr>
          <w:highlight w:val="none"/>
        </w:rPr>
        <w:drawing>
          <wp:inline distT="0" distB="0" distL="114300" distR="114300">
            <wp:extent cx="2988945" cy="157861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988945" cy="1578610"/>
                    </a:xfrm>
                    <a:prstGeom prst="rect">
                      <a:avLst/>
                    </a:prstGeom>
                    <a:noFill/>
                    <a:ln>
                      <a:noFill/>
                    </a:ln>
                  </pic:spPr>
                </pic:pic>
              </a:graphicData>
            </a:graphic>
          </wp:inline>
        </w:drawing>
      </w:r>
    </w:p>
    <w:p>
      <w:pPr>
        <w:pStyle w:val="13"/>
        <w:jc w:val="center"/>
        <w:rPr>
          <w:highlight w:val="none"/>
        </w:rPr>
      </w:pPr>
      <w:bookmarkStart w:id="6" w:name="_Ref446"/>
      <w:r>
        <w:rPr>
          <w:b w:val="0"/>
          <w:bCs w:val="0"/>
          <w:highlight w:val="none"/>
        </w:rPr>
        <w:t xml:space="preserve">Figure </w:t>
      </w:r>
      <w:r>
        <w:rPr>
          <w:b w:val="0"/>
          <w:bCs w:val="0"/>
          <w:highlight w:val="none"/>
        </w:rPr>
        <w:fldChar w:fldCharType="begin"/>
      </w:r>
      <w:r>
        <w:rPr>
          <w:b w:val="0"/>
          <w:bCs w:val="0"/>
          <w:highlight w:val="none"/>
        </w:rPr>
        <w:instrText xml:space="preserve"> SEQ Figure \* ARABIC </w:instrText>
      </w:r>
      <w:r>
        <w:rPr>
          <w:b w:val="0"/>
          <w:bCs w:val="0"/>
          <w:highlight w:val="none"/>
        </w:rPr>
        <w:fldChar w:fldCharType="separate"/>
      </w:r>
      <w:r>
        <w:rPr>
          <w:b w:val="0"/>
          <w:bCs w:val="0"/>
          <w:highlight w:val="none"/>
        </w:rPr>
        <w:t>1</w:t>
      </w:r>
      <w:r>
        <w:rPr>
          <w:b w:val="0"/>
          <w:bCs w:val="0"/>
          <w:highlight w:val="none"/>
        </w:rPr>
        <w:fldChar w:fldCharType="end"/>
      </w:r>
      <w:bookmarkEnd w:id="6"/>
      <w:r>
        <w:rPr>
          <w:b w:val="0"/>
          <w:bCs w:val="0"/>
          <w:highlight w:val="none"/>
          <w:lang w:val="en-US" w:eastAsia="zh-CN"/>
        </w:rPr>
        <w:t xml:space="preserve">. </w:t>
      </w:r>
      <w:r>
        <w:rPr>
          <w:rFonts w:hint="eastAsia"/>
          <w:b w:val="0"/>
          <w:bCs w:val="0"/>
          <w:highlight w:val="none"/>
          <w:lang w:val="en-US" w:eastAsia="zh-CN"/>
        </w:rPr>
        <w:t>E</w:t>
      </w:r>
      <w:r>
        <w:rPr>
          <w:b w:val="0"/>
          <w:bCs w:val="0"/>
          <w:highlight w:val="none"/>
          <w:lang w:val="en-US" w:eastAsia="zh-CN"/>
        </w:rPr>
        <w:t xml:space="preserve">xample for </w:t>
      </w:r>
      <w:r>
        <w:rPr>
          <w:rFonts w:hint="eastAsia"/>
          <w:b w:val="0"/>
          <w:bCs w:val="0"/>
          <w:highlight w:val="none"/>
          <w:lang w:val="en-US" w:eastAsia="zh-CN"/>
        </w:rPr>
        <w:t>carrier phase measurement difference</w:t>
      </w:r>
      <w:r>
        <w:rPr>
          <w:b w:val="0"/>
          <w:bCs w:val="0"/>
          <w:highlight w:val="none"/>
          <w:lang w:val="en-US" w:eastAsia="zh-CN"/>
        </w:rPr>
        <w:t xml:space="preserve"> </w:t>
      </w:r>
    </w:p>
    <w:p>
      <w:pPr>
        <w:widowControl w:val="0"/>
        <w:snapToGrid w:val="0"/>
        <w:spacing w:before="180" w:beforeLines="50" w:after="180" w:afterLines="50" w:line="240" w:lineRule="auto"/>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rPr>
        <w:t>And as discussed in the last meeting</w:t>
      </w:r>
      <w:r>
        <w:rPr>
          <w:rFonts w:ascii="Times New Roman" w:hAnsi="Times New Roman"/>
          <w:sz w:val="20"/>
          <w:szCs w:val="20"/>
          <w:highlight w:val="none"/>
        </w:rPr>
        <w:t>’</w:t>
      </w:r>
      <w:r>
        <w:rPr>
          <w:rFonts w:hint="eastAsia" w:ascii="Times New Roman" w:hAnsi="Times New Roman"/>
          <w:sz w:val="20"/>
          <w:szCs w:val="20"/>
          <w:highlight w:val="none"/>
        </w:rPr>
        <w:t>s summary, the carrier phase difference between different OFDM symbols is more like unpredictable errors. Take comb-4 as an example, as</w:t>
      </w:r>
      <w:r>
        <w:rPr>
          <w:rFonts w:ascii="Times New Roman" w:hAnsi="Times New Roman"/>
          <w:sz w:val="20"/>
          <w:szCs w:val="20"/>
          <w:highlight w:val="none"/>
        </w:rPr>
        <w:t> the figure above shows</w:t>
      </w:r>
      <w:r>
        <w:rPr>
          <w:rFonts w:hint="eastAsia" w:ascii="Times New Roman" w:hAnsi="Times New Roman"/>
          <w:sz w:val="20"/>
          <w:szCs w:val="20"/>
          <w:highlight w:val="none"/>
        </w:rPr>
        <w:t>, the measured carrier phase in OFDM symbol</w:t>
      </w:r>
      <w:r>
        <w:rPr>
          <w:rFonts w:hint="eastAsia" w:ascii="Times New Roman" w:hAnsi="Times New Roman"/>
          <w:i/>
          <w:iCs/>
          <w:sz w:val="20"/>
          <w:szCs w:val="20"/>
          <w:highlight w:val="none"/>
        </w:rPr>
        <w:t xml:space="preserve"> i</w:t>
      </w:r>
      <w:r>
        <w:rPr>
          <w:rFonts w:hint="eastAsia" w:ascii="Times New Roman" w:hAnsi="Times New Roman"/>
          <w:sz w:val="20"/>
          <w:szCs w:val="20"/>
          <w:highlight w:val="none"/>
        </w:rPr>
        <w:t xml:space="preserve"> should be equal to that of OFDM symbol </w:t>
      </w:r>
      <w:r>
        <w:rPr>
          <w:rFonts w:hint="eastAsia" w:ascii="Times New Roman" w:hAnsi="Times New Roman"/>
          <w:i/>
          <w:iCs/>
          <w:sz w:val="20"/>
          <w:szCs w:val="20"/>
          <w:highlight w:val="none"/>
        </w:rPr>
        <w:t>i+4</w:t>
      </w:r>
      <w:r>
        <w:rPr>
          <w:rFonts w:hint="eastAsia" w:ascii="Times New Roman" w:hAnsi="Times New Roman"/>
          <w:sz w:val="20"/>
          <w:szCs w:val="20"/>
          <w:highlight w:val="none"/>
        </w:rPr>
        <w:t>. And the carrier phase difference between adjacent ca</w:t>
      </w:r>
      <w:r>
        <w:rPr>
          <w:rFonts w:hint="eastAsia" w:ascii="Times New Roman" w:hAnsi="Times New Roman"/>
          <w:sz w:val="20"/>
          <w:szCs w:val="20"/>
          <w:highlight w:val="none"/>
          <w:lang w:val="en-US" w:eastAsia="zh-CN"/>
        </w:rPr>
        <w:t>rriers</w:t>
      </w:r>
      <w:r>
        <w:rPr>
          <w:rFonts w:hint="eastAsia" w:ascii="Times New Roman" w:hAnsi="Times New Roman"/>
          <w:sz w:val="20"/>
          <w:szCs w:val="20"/>
          <w:highlight w:val="none"/>
        </w:rPr>
        <w:t xml:space="preserve"> of adjacent symbols is caused by the difference in subcarrier spacing, which is</w:t>
      </w:r>
      <w:r>
        <w:rPr>
          <w:rFonts w:hint="eastAsia" w:ascii="Times New Roman" w:hAnsi="Times New Roman"/>
          <w:sz w:val="20"/>
          <w:szCs w:val="20"/>
          <w:highlight w:val="none"/>
          <w:lang w:val="en-US" w:eastAsia="zh-CN"/>
        </w:rPr>
        <w:t xml:space="preserve"> a known value</w:t>
      </w:r>
      <w:r>
        <w:rPr>
          <w:rFonts w:ascii="Times New Roman" w:hAnsi="Times New Roman"/>
          <w:sz w:val="20"/>
          <w:szCs w:val="20"/>
          <w:highlight w:val="none"/>
        </w:rPr>
        <w:t xml:space="preserve"> (which is abs(CombOffset_2 – CombOffset_1)*SCS*d/c, e.g., 0.01 Rad or 0.57 degrees for SCS=30kHz, d=50m)</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In the last FL summary, the proposal was updated as follows:</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hint="default" w:ascii="Times New Roman" w:hAnsi="Times New Roman" w:eastAsiaTheme="minorEastAsia"/>
                <w:bCs/>
                <w:sz w:val="20"/>
                <w:szCs w:val="20"/>
                <w:highlight w:val="none"/>
                <w:lang w:val="en-US" w:eastAsia="zh-CN"/>
              </w:rPr>
            </w:pPr>
            <w:r>
              <w:rPr>
                <w:rFonts w:hint="eastAsia" w:ascii="Times New Roman" w:hAnsi="Times New Roman"/>
                <w:b/>
                <w:sz w:val="20"/>
                <w:szCs w:val="20"/>
                <w:highlight w:val="none"/>
                <w:u w:val="single"/>
                <w:lang w:val="en-US" w:eastAsia="zh-CN"/>
              </w:rPr>
              <w:t>Draft proposal:</w:t>
            </w:r>
          </w:p>
          <w:p>
            <w:pPr>
              <w:keepNext w:val="0"/>
              <w:keepLines w:val="0"/>
              <w:pageBreakBefore w:val="0"/>
              <w:widowControl/>
              <w:kinsoku/>
              <w:wordWrap/>
              <w:topLinePunct w:val="0"/>
              <w:bidi w:val="0"/>
              <w:adjustRightInd w:val="0"/>
              <w:snapToGrid w:val="0"/>
              <w:spacing w:after="0" w:line="240" w:lineRule="auto"/>
              <w:rPr>
                <w:rFonts w:ascii="Times New Roman" w:hAnsi="Times New Roman"/>
                <w:i/>
                <w:iCs/>
                <w:color w:val="auto"/>
                <w:sz w:val="20"/>
                <w:szCs w:val="20"/>
                <w:highlight w:val="none"/>
              </w:rPr>
            </w:pPr>
            <w:r>
              <w:rPr>
                <w:rStyle w:val="33"/>
                <w:rFonts w:ascii="Times New Roman" w:hAnsi="Times New Roman"/>
                <w:i w:val="0"/>
                <w:color w:val="auto"/>
                <w:sz w:val="20"/>
                <w:szCs w:val="20"/>
                <w:highlight w:val="none"/>
                <w:lang w:eastAsia="ja-JP"/>
              </w:rPr>
              <w:t xml:space="preserve">Adopt one of the following options for a timestamp associated with a </w:t>
            </w:r>
            <w:r>
              <w:rPr>
                <w:rStyle w:val="33"/>
                <w:rFonts w:ascii="Times New Roman" w:hAnsi="Times New Roman"/>
                <w:i w:val="0"/>
                <w:color w:val="auto"/>
                <w:sz w:val="20"/>
                <w:szCs w:val="20"/>
                <w:highlight w:val="none"/>
              </w:rPr>
              <w:t xml:space="preserve">reported </w:t>
            </w:r>
            <w:r>
              <w:rPr>
                <w:rStyle w:val="33"/>
                <w:rFonts w:ascii="Times New Roman" w:hAnsi="Times New Roman"/>
                <w:i w:val="0"/>
                <w:color w:val="auto"/>
                <w:sz w:val="20"/>
                <w:szCs w:val="20"/>
                <w:highlight w:val="none"/>
                <w:lang w:eastAsia="ja-JP"/>
              </w:rPr>
              <w:t>RSCP/RSCPD measurement (make the decision in RAN1#113):</w:t>
            </w:r>
            <w:r>
              <w:rPr>
                <w:rFonts w:ascii="Times New Roman" w:hAnsi="Times New Roman"/>
                <w:i/>
                <w:iCs/>
                <w:color w:val="auto"/>
                <w:sz w:val="20"/>
                <w:szCs w:val="20"/>
                <w:highlight w:val="none"/>
              </w:rPr>
              <w:t xml:space="preserve"> </w:t>
            </w:r>
          </w:p>
          <w:p>
            <w:pPr>
              <w:pStyle w:val="96"/>
              <w:keepNext w:val="0"/>
              <w:keepLines w:val="0"/>
              <w:pageBreakBefore w:val="0"/>
              <w:widowControl/>
              <w:numPr>
                <w:ilvl w:val="0"/>
                <w:numId w:val="4"/>
              </w:numPr>
              <w:kinsoku/>
              <w:wordWrap/>
              <w:topLinePunct w:val="0"/>
              <w:bidi w:val="0"/>
              <w:adjustRightInd w:val="0"/>
              <w:snapToGrid w:val="0"/>
              <w:spacing w:after="0" w:line="240" w:lineRule="auto"/>
              <w:ind w:leftChars="0"/>
              <w:contextualSpacing/>
              <w:rPr>
                <w:iCs/>
                <w:color w:val="auto"/>
                <w:sz w:val="20"/>
                <w:szCs w:val="20"/>
                <w:highlight w:val="none"/>
                <w:lang w:eastAsia="ja-JP"/>
              </w:rPr>
            </w:pPr>
            <w:r>
              <w:rPr>
                <w:color w:val="auto"/>
                <w:sz w:val="20"/>
                <w:szCs w:val="20"/>
                <w:highlight w:val="none"/>
              </w:rPr>
              <w:t>Option 1:</w:t>
            </w:r>
          </w:p>
          <w:p>
            <w:pPr>
              <w:pStyle w:val="96"/>
              <w:keepNext w:val="0"/>
              <w:keepLines w:val="0"/>
              <w:pageBreakBefore w:val="0"/>
              <w:widowControl/>
              <w:numPr>
                <w:ilvl w:val="1"/>
                <w:numId w:val="4"/>
              </w:numPr>
              <w:kinsoku/>
              <w:wordWrap/>
              <w:topLinePunct w:val="0"/>
              <w:bidi w:val="0"/>
              <w:adjustRightInd w:val="0"/>
              <w:snapToGrid w:val="0"/>
              <w:spacing w:after="0" w:line="240" w:lineRule="auto"/>
              <w:ind w:leftChars="0"/>
              <w:contextualSpacing/>
              <w:rPr>
                <w:color w:val="auto"/>
                <w:sz w:val="20"/>
                <w:szCs w:val="20"/>
                <w:highlight w:val="none"/>
              </w:rPr>
            </w:pPr>
            <w:r>
              <w:rPr>
                <w:iCs/>
                <w:color w:val="auto"/>
                <w:sz w:val="20"/>
                <w:szCs w:val="20"/>
                <w:highlight w:val="none"/>
              </w:rPr>
              <w:t xml:space="preserve">NR-TimeStamp, currently defined in TS 37.355, is reused as the timestamp with the granularity of a slot. </w:t>
            </w:r>
          </w:p>
          <w:p>
            <w:pPr>
              <w:pStyle w:val="96"/>
              <w:keepNext w:val="0"/>
              <w:keepLines w:val="0"/>
              <w:pageBreakBefore w:val="0"/>
              <w:widowControl/>
              <w:numPr>
                <w:ilvl w:val="1"/>
                <w:numId w:val="4"/>
              </w:numPr>
              <w:kinsoku/>
              <w:wordWrap/>
              <w:topLinePunct w:val="0"/>
              <w:bidi w:val="0"/>
              <w:adjustRightInd w:val="0"/>
              <w:snapToGrid w:val="0"/>
              <w:spacing w:after="0" w:line="240" w:lineRule="auto"/>
              <w:ind w:leftChars="0"/>
              <w:contextualSpacing/>
              <w:rPr>
                <w:color w:val="auto"/>
                <w:sz w:val="20"/>
                <w:szCs w:val="20"/>
                <w:highlight w:val="none"/>
              </w:rPr>
            </w:pPr>
            <w:r>
              <w:rPr>
                <w:iCs/>
                <w:strike/>
                <w:dstrike w:val="0"/>
                <w:color w:val="C00000"/>
                <w:sz w:val="20"/>
                <w:szCs w:val="20"/>
                <w:highlight w:val="none"/>
              </w:rPr>
              <w:t>FFS: Whether to clarify in the specification t</w:t>
            </w:r>
            <w:r>
              <w:rPr>
                <w:rFonts w:hint="eastAsia"/>
                <w:iCs/>
                <w:strike/>
                <w:dstrike w:val="0"/>
                <w:color w:val="C00000"/>
                <w:sz w:val="20"/>
                <w:szCs w:val="20"/>
                <w:highlight w:val="none"/>
                <w:lang w:val="en-US" w:eastAsia="zh-CN"/>
              </w:rPr>
              <w:t xml:space="preserve"> </w:t>
            </w:r>
            <w:r>
              <w:rPr>
                <w:rFonts w:hint="eastAsia"/>
                <w:iCs/>
                <w:strike w:val="0"/>
                <w:dstrike w:val="0"/>
                <w:color w:val="4F81BD" w:themeColor="accent1"/>
                <w:sz w:val="20"/>
                <w:szCs w:val="20"/>
                <w:highlight w:val="none"/>
                <w:u w:val="single"/>
                <w:lang w:val="en-US" w:eastAsia="zh-CN"/>
                <w14:textFill>
                  <w14:solidFill>
                    <w14:schemeClr w14:val="accent1"/>
                  </w14:solidFill>
                </w14:textFill>
              </w:rPr>
              <w:t>T</w:t>
            </w:r>
            <w:r>
              <w:rPr>
                <w:iCs/>
                <w:color w:val="auto"/>
                <w:sz w:val="20"/>
                <w:szCs w:val="20"/>
                <w:highlight w:val="none"/>
              </w:rPr>
              <w:t>he reported RSCP/RSCPD value presents the RSCP/RSCPD of</w:t>
            </w:r>
            <w:r>
              <w:rPr>
                <w:rFonts w:hint="eastAsia"/>
                <w:iCs/>
                <w:color w:val="auto"/>
                <w:sz w:val="20"/>
                <w:szCs w:val="20"/>
                <w:highlight w:val="none"/>
                <w:lang w:val="en-US" w:eastAsia="zh-CN"/>
              </w:rPr>
              <w:t xml:space="preserve"> </w:t>
            </w:r>
            <w:r>
              <w:rPr>
                <w:rFonts w:hint="eastAsia"/>
                <w:iCs/>
                <w:color w:val="4F81BD" w:themeColor="accent1"/>
                <w:sz w:val="20"/>
                <w:szCs w:val="20"/>
                <w:highlight w:val="none"/>
                <w:u w:val="single"/>
                <w:lang w:val="en-US" w:eastAsia="zh-CN"/>
                <w14:textFill>
                  <w14:solidFill>
                    <w14:schemeClr w14:val="accent1"/>
                  </w14:solidFill>
                </w14:textFill>
              </w:rPr>
              <w:t>the last</w:t>
            </w:r>
            <w:r>
              <w:rPr>
                <w:iCs/>
                <w:color w:val="auto"/>
                <w:sz w:val="20"/>
                <w:szCs w:val="20"/>
                <w:highlight w:val="none"/>
              </w:rPr>
              <w:t xml:space="preserve"> </w:t>
            </w:r>
            <w:r>
              <w:rPr>
                <w:iCs/>
                <w:strike/>
                <w:dstrike w:val="0"/>
                <w:color w:val="C00000"/>
                <w:sz w:val="20"/>
                <w:szCs w:val="20"/>
                <w:highlight w:val="none"/>
              </w:rPr>
              <w:t xml:space="preserve">a specific </w:t>
            </w:r>
            <w:r>
              <w:rPr>
                <w:iCs/>
                <w:color w:val="auto"/>
                <w:sz w:val="20"/>
                <w:szCs w:val="20"/>
                <w:highlight w:val="none"/>
              </w:rPr>
              <w:t>OFDM symbol</w:t>
            </w:r>
            <w:r>
              <w:rPr>
                <w:rFonts w:hint="eastAsia"/>
                <w:iCs/>
                <w:color w:val="auto"/>
                <w:sz w:val="20"/>
                <w:szCs w:val="20"/>
                <w:highlight w:val="none"/>
                <w:lang w:val="en-US" w:eastAsia="zh-CN"/>
              </w:rPr>
              <w:t xml:space="preserve"> </w:t>
            </w:r>
            <w:r>
              <w:rPr>
                <w:rFonts w:hint="eastAsia"/>
                <w:iCs/>
                <w:color w:val="4F81BD" w:themeColor="accent1"/>
                <w:sz w:val="20"/>
                <w:szCs w:val="20"/>
                <w:highlight w:val="none"/>
                <w:u w:val="single"/>
                <w:lang w:val="en-US" w:eastAsia="zh-CN"/>
                <w14:textFill>
                  <w14:solidFill>
                    <w14:schemeClr w14:val="accent1"/>
                  </w14:solidFill>
                </w14:textFill>
              </w:rPr>
              <w:t>of the PRS/SRS resources</w:t>
            </w:r>
            <w:r>
              <w:rPr>
                <w:iCs/>
                <w:color w:val="4F81BD" w:themeColor="accent1"/>
                <w:sz w:val="20"/>
                <w:szCs w:val="20"/>
                <w:highlight w:val="none"/>
                <w:u w:val="single"/>
                <w14:textFill>
                  <w14:solidFill>
                    <w14:schemeClr w14:val="accent1"/>
                  </w14:solidFill>
                </w14:textFill>
              </w:rPr>
              <w:t xml:space="preserve"> </w:t>
            </w:r>
            <w:r>
              <w:rPr>
                <w:iCs/>
                <w:color w:val="auto"/>
                <w:sz w:val="20"/>
                <w:szCs w:val="20"/>
                <w:highlight w:val="none"/>
              </w:rPr>
              <w:t>within the slot identified by the NR-TimeStamp.</w:t>
            </w:r>
          </w:p>
          <w:p>
            <w:pPr>
              <w:pStyle w:val="96"/>
              <w:keepNext w:val="0"/>
              <w:keepLines w:val="0"/>
              <w:pageBreakBefore w:val="0"/>
              <w:widowControl/>
              <w:numPr>
                <w:ilvl w:val="0"/>
                <w:numId w:val="4"/>
              </w:numPr>
              <w:kinsoku/>
              <w:wordWrap/>
              <w:topLinePunct w:val="0"/>
              <w:bidi w:val="0"/>
              <w:adjustRightInd w:val="0"/>
              <w:snapToGrid w:val="0"/>
              <w:spacing w:after="0" w:line="240" w:lineRule="auto"/>
              <w:ind w:leftChars="0"/>
              <w:contextualSpacing/>
              <w:rPr>
                <w:color w:val="auto"/>
                <w:sz w:val="20"/>
                <w:szCs w:val="20"/>
                <w:highlight w:val="none"/>
              </w:rPr>
            </w:pPr>
            <w:r>
              <w:rPr>
                <w:iCs/>
                <w:color w:val="auto"/>
                <w:sz w:val="20"/>
                <w:szCs w:val="20"/>
                <w:highlight w:val="none"/>
              </w:rPr>
              <w:t>Option 2:</w:t>
            </w:r>
          </w:p>
          <w:p>
            <w:pPr>
              <w:pStyle w:val="96"/>
              <w:keepNext w:val="0"/>
              <w:keepLines w:val="0"/>
              <w:pageBreakBefore w:val="0"/>
              <w:widowControl/>
              <w:numPr>
                <w:ilvl w:val="1"/>
                <w:numId w:val="4"/>
              </w:numPr>
              <w:kinsoku/>
              <w:wordWrap/>
              <w:topLinePunct w:val="0"/>
              <w:bidi w:val="0"/>
              <w:adjustRightInd w:val="0"/>
              <w:snapToGrid w:val="0"/>
              <w:spacing w:after="0" w:line="240" w:lineRule="auto"/>
              <w:ind w:leftChars="0"/>
              <w:contextualSpacing/>
              <w:rPr>
                <w:highlight w:val="none"/>
              </w:rPr>
            </w:pPr>
            <w:r>
              <w:rPr>
                <w:color w:val="auto"/>
                <w:sz w:val="20"/>
                <w:szCs w:val="20"/>
                <w:highlight w:val="none"/>
              </w:rPr>
              <w:t>NR-TimeStamp, currently defined in TS 37.355, should be enhanced to include the OFDM symbol index in a slot, as the timestamp for RSCP/RSCPD measurements.</w:t>
            </w:r>
          </w:p>
        </w:tc>
      </w:tr>
    </w:tbl>
    <w:p>
      <w:pPr>
        <w:widowControl w:val="0"/>
        <w:snapToGrid w:val="0"/>
        <w:spacing w:before="180" w:beforeLines="50" w:after="180" w:afterLines="50" w:line="240" w:lineRule="auto"/>
        <w:jc w:val="both"/>
        <w:rPr>
          <w:rFonts w:ascii="Times New Roman" w:hAnsi="Times New Roman"/>
          <w:sz w:val="20"/>
          <w:szCs w:val="20"/>
          <w:highlight w:val="none"/>
        </w:rPr>
      </w:pPr>
      <w:r>
        <w:rPr>
          <w:rFonts w:hint="default" w:ascii="Times New Roman" w:hAnsi="Times New Roman"/>
          <w:sz w:val="20"/>
          <w:szCs w:val="20"/>
          <w:highlight w:val="none"/>
          <w:lang w:val="en-US" w:eastAsia="zh-CN"/>
        </w:rPr>
        <w:t xml:space="preserve">Through the above analysis, it can be </w:t>
      </w:r>
      <w:r>
        <w:rPr>
          <w:rFonts w:hint="eastAsia" w:ascii="Times New Roman" w:hAnsi="Times New Roman"/>
          <w:sz w:val="20"/>
          <w:szCs w:val="20"/>
          <w:highlight w:val="none"/>
          <w:lang w:val="en-US" w:eastAsia="zh-CN"/>
        </w:rPr>
        <w:t xml:space="preserve">observed </w:t>
      </w:r>
      <w:r>
        <w:rPr>
          <w:rFonts w:hint="default" w:ascii="Times New Roman" w:hAnsi="Times New Roman"/>
          <w:sz w:val="20"/>
          <w:szCs w:val="20"/>
          <w:highlight w:val="none"/>
          <w:lang w:val="en-US" w:eastAsia="zh-CN"/>
        </w:rPr>
        <w:t>that</w:t>
      </w:r>
      <w:r>
        <w:rPr>
          <w:rFonts w:hint="eastAsia" w:ascii="Times New Roman" w:hAnsi="Times New Roman"/>
          <w:sz w:val="20"/>
          <w:szCs w:val="20"/>
          <w:highlight w:val="none"/>
          <w:lang w:val="en-US" w:eastAsia="zh-CN"/>
        </w:rPr>
        <w:t xml:space="preserve"> a</w:t>
      </w:r>
      <w:r>
        <w:rPr>
          <w:rFonts w:hint="eastAsia" w:ascii="Times New Roman" w:hAnsi="Times New Roman"/>
          <w:sz w:val="20"/>
          <w:szCs w:val="20"/>
          <w:highlight w:val="none"/>
        </w:rPr>
        <w:t xml:space="preserve"> granularity of a slot is quite enough for </w:t>
      </w:r>
      <w:r>
        <w:rPr>
          <w:rFonts w:hint="eastAsia" w:ascii="Times New Roman" w:hAnsi="Times New Roman"/>
          <w:sz w:val="20"/>
          <w:szCs w:val="20"/>
          <w:highlight w:val="none"/>
          <w:lang w:val="en-US" w:eastAsia="zh-CN"/>
        </w:rPr>
        <w:t xml:space="preserve">the time stamp of </w:t>
      </w:r>
      <w:r>
        <w:rPr>
          <w:rFonts w:hint="eastAsia" w:ascii="Times New Roman" w:hAnsi="Times New Roman"/>
          <w:sz w:val="20"/>
          <w:szCs w:val="20"/>
          <w:highlight w:val="none"/>
        </w:rPr>
        <w:t>carrier phase measurement. For the FFS part, it</w:t>
      </w:r>
      <w:r>
        <w:rPr>
          <w:rFonts w:ascii="Times New Roman" w:hAnsi="Times New Roman"/>
          <w:sz w:val="20"/>
          <w:szCs w:val="20"/>
          <w:highlight w:val="none"/>
        </w:rPr>
        <w:t>’</w:t>
      </w:r>
      <w:r>
        <w:rPr>
          <w:rFonts w:hint="eastAsia" w:ascii="Times New Roman" w:hAnsi="Times New Roman"/>
          <w:sz w:val="20"/>
          <w:szCs w:val="20"/>
          <w:highlight w:val="none"/>
        </w:rPr>
        <w:t>s not necessary to report the specific OFDM symbol index from our perspective. Hence, we have the following proposal.</w:t>
      </w:r>
    </w:p>
    <w:p>
      <w:pPr>
        <w:adjustRightInd w:val="0"/>
        <w:snapToGrid w:val="0"/>
        <w:spacing w:after="0" w:line="240" w:lineRule="auto"/>
        <w:rPr>
          <w:rFonts w:ascii="Times New Roman" w:hAnsi="Times New Roman"/>
          <w:b/>
          <w:bCs/>
          <w:i/>
          <w:sz w:val="20"/>
          <w:szCs w:val="20"/>
          <w:highlight w:val="none"/>
        </w:rPr>
      </w:pPr>
      <w:bookmarkStart w:id="7" w:name="_Ref7641"/>
      <w:r>
        <w:rPr>
          <w:rFonts w:ascii="Times New Roman" w:hAnsi="Times New Roman"/>
          <w:b/>
          <w:bCs/>
          <w:i/>
          <w:sz w:val="20"/>
          <w:szCs w:val="20"/>
          <w:highlight w:val="none"/>
        </w:rPr>
        <w:t xml:space="preserve">Proposal </w:t>
      </w:r>
      <w:r>
        <w:rPr>
          <w:rFonts w:ascii="Times New Roman" w:hAnsi="Times New Roman"/>
          <w:b/>
          <w:bCs/>
          <w:i/>
          <w:sz w:val="20"/>
          <w:szCs w:val="20"/>
          <w:highlight w:val="none"/>
        </w:rPr>
        <w:fldChar w:fldCharType="begin"/>
      </w:r>
      <w:r>
        <w:rPr>
          <w:rFonts w:ascii="Times New Roman" w:hAnsi="Times New Roman"/>
          <w:b/>
          <w:bCs/>
          <w:i/>
          <w:sz w:val="20"/>
          <w:szCs w:val="20"/>
          <w:highlight w:val="none"/>
        </w:rPr>
        <w:instrText xml:space="preserve"> SEQ Proposal \* ARABIC </w:instrText>
      </w:r>
      <w:r>
        <w:rPr>
          <w:rFonts w:ascii="Times New Roman" w:hAnsi="Times New Roman"/>
          <w:b/>
          <w:bCs/>
          <w:i/>
          <w:sz w:val="20"/>
          <w:szCs w:val="20"/>
          <w:highlight w:val="none"/>
        </w:rPr>
        <w:fldChar w:fldCharType="separate"/>
      </w:r>
      <w:r>
        <w:rPr>
          <w:rFonts w:ascii="Times New Roman" w:hAnsi="Times New Roman"/>
          <w:b/>
          <w:bCs/>
          <w:i/>
          <w:sz w:val="20"/>
          <w:szCs w:val="20"/>
          <w:highlight w:val="none"/>
        </w:rPr>
        <w:t>1</w:t>
      </w:r>
      <w:r>
        <w:rPr>
          <w:rFonts w:ascii="Times New Roman" w:hAnsi="Times New Roman"/>
          <w:b/>
          <w:bCs/>
          <w:i/>
          <w:sz w:val="20"/>
          <w:szCs w:val="20"/>
          <w:highlight w:val="none"/>
        </w:rPr>
        <w:fldChar w:fldCharType="end"/>
      </w:r>
      <w:r>
        <w:rPr>
          <w:rFonts w:ascii="Times New Roman" w:hAnsi="Times New Roman"/>
          <w:b/>
          <w:bCs/>
          <w:i/>
          <w:sz w:val="20"/>
          <w:szCs w:val="20"/>
          <w:highlight w:val="none"/>
        </w:rPr>
        <w:t xml:space="preserve">: </w:t>
      </w:r>
      <w:r>
        <w:rPr>
          <w:rFonts w:ascii="Times New Roman" w:hAnsi="Times New Roman"/>
          <w:b/>
          <w:bCs/>
          <w:i/>
          <w:sz w:val="20"/>
          <w:szCs w:val="20"/>
          <w:highlight w:val="none"/>
          <w:lang w:eastAsia="ja-JP"/>
        </w:rPr>
        <w:t xml:space="preserve">Adopt the following option for a timestamp associated with a </w:t>
      </w:r>
      <w:r>
        <w:rPr>
          <w:rFonts w:ascii="Times New Roman" w:hAnsi="Times New Roman"/>
          <w:b/>
          <w:bCs/>
          <w:i/>
          <w:sz w:val="20"/>
          <w:szCs w:val="20"/>
          <w:highlight w:val="none"/>
        </w:rPr>
        <w:t xml:space="preserve">reported </w:t>
      </w:r>
      <w:r>
        <w:rPr>
          <w:rFonts w:ascii="Times New Roman" w:hAnsi="Times New Roman"/>
          <w:b/>
          <w:bCs/>
          <w:i/>
          <w:sz w:val="20"/>
          <w:szCs w:val="20"/>
          <w:highlight w:val="none"/>
          <w:lang w:eastAsia="ja-JP"/>
        </w:rPr>
        <w:t>RSCP/RSCPD measurement):</w:t>
      </w:r>
      <w:r>
        <w:rPr>
          <w:rFonts w:ascii="Times New Roman" w:hAnsi="Times New Roman"/>
          <w:b/>
          <w:bCs/>
          <w:i/>
          <w:sz w:val="20"/>
          <w:szCs w:val="20"/>
          <w:highlight w:val="none"/>
        </w:rPr>
        <w:t xml:space="preserve"> </w:t>
      </w:r>
      <w:bookmarkEnd w:id="7"/>
    </w:p>
    <w:p>
      <w:pPr>
        <w:numPr>
          <w:ilvl w:val="0"/>
          <w:numId w:val="4"/>
        </w:numPr>
        <w:adjustRightInd w:val="0"/>
        <w:snapToGrid w:val="0"/>
        <w:spacing w:after="0" w:line="240" w:lineRule="auto"/>
        <w:contextualSpacing/>
        <w:rPr>
          <w:rFonts w:ascii="Times New Roman" w:hAnsi="Times New Roman"/>
          <w:b/>
          <w:bCs/>
          <w:i/>
          <w:sz w:val="20"/>
          <w:szCs w:val="20"/>
          <w:highlight w:val="none"/>
          <w:lang w:eastAsia="ja-JP"/>
        </w:rPr>
      </w:pPr>
      <w:r>
        <w:rPr>
          <w:rFonts w:ascii="Times New Roman" w:hAnsi="Times New Roman"/>
          <w:b/>
          <w:bCs/>
          <w:i/>
          <w:sz w:val="20"/>
          <w:szCs w:val="20"/>
          <w:highlight w:val="none"/>
        </w:rPr>
        <w:t>Option 1:</w:t>
      </w:r>
    </w:p>
    <w:p>
      <w:pPr>
        <w:keepNext w:val="0"/>
        <w:keepLines w:val="0"/>
        <w:pageBreakBefore w:val="0"/>
        <w:widowControl/>
        <w:numPr>
          <w:ilvl w:val="1"/>
          <w:numId w:val="4"/>
        </w:numPr>
        <w:kinsoku/>
        <w:wordWrap/>
        <w:overflowPunct/>
        <w:topLinePunct w:val="0"/>
        <w:autoSpaceDE/>
        <w:autoSpaceDN/>
        <w:bidi w:val="0"/>
        <w:adjustRightInd w:val="0"/>
        <w:snapToGrid w:val="0"/>
        <w:spacing w:after="181" w:afterLines="50" w:line="240" w:lineRule="auto"/>
        <w:ind w:left="1508" w:hanging="363"/>
        <w:contextualSpacing/>
        <w:textAlignment w:val="auto"/>
        <w:rPr>
          <w:rFonts w:ascii="Times New Roman" w:hAnsi="Times New Roman" w:eastAsia="宋体"/>
          <w:b/>
          <w:bCs/>
          <w:i/>
          <w:sz w:val="20"/>
          <w:szCs w:val="20"/>
          <w:highlight w:val="none"/>
        </w:rPr>
      </w:pPr>
      <w:r>
        <w:rPr>
          <w:rFonts w:ascii="Times New Roman" w:hAnsi="Times New Roman"/>
          <w:b/>
          <w:bCs/>
          <w:i/>
          <w:sz w:val="20"/>
          <w:szCs w:val="20"/>
          <w:highlight w:val="none"/>
        </w:rPr>
        <w:t xml:space="preserve">NR-TimeStamp, currently defined in TS 37.355, is reused as the timestamp with the granularity of a slot. </w:t>
      </w:r>
    </w:p>
    <w:p>
      <w:pPr>
        <w:keepNext w:val="0"/>
        <w:keepLines w:val="0"/>
        <w:pageBreakBefore w:val="0"/>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cs="Times New Roman" w:eastAsiaTheme="minorEastAsia"/>
          <w:color w:val="C00000"/>
          <w:kern w:val="0"/>
          <w:sz w:val="20"/>
          <w:szCs w:val="20"/>
          <w:highlight w:val="none"/>
          <w:lang w:val="en-US" w:eastAsia="zh-CN" w:bidi="ar-SA"/>
        </w:rPr>
      </w:pPr>
    </w:p>
    <w:p>
      <w:pPr>
        <w:pStyle w:val="4"/>
        <w:numPr>
          <w:ilvl w:val="1"/>
          <w:numId w:val="0"/>
        </w:numPr>
        <w:ind w:left="220" w:leftChars="100"/>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2.1.2 Standalone reporting of carrier phase measurements</w:t>
      </w:r>
    </w:p>
    <w:p>
      <w:pPr>
        <w:widowControl w:val="0"/>
        <w:snapToGrid w:val="0"/>
        <w:spacing w:before="180" w:beforeLines="50" w:after="180" w:afterLines="50" w:line="240" w:lineRule="auto"/>
        <w:jc w:val="both"/>
        <w:rPr>
          <w:rFonts w:hint="eastAsia" w:ascii="Times New Roman" w:hAnsi="Times New Roman"/>
          <w:color w:val="auto"/>
          <w:sz w:val="20"/>
          <w:szCs w:val="20"/>
          <w:highlight w:val="none"/>
          <w:lang w:val="en-US" w:eastAsia="zh-CN"/>
        </w:rPr>
      </w:pPr>
      <w:r>
        <w:rPr>
          <w:rFonts w:hint="eastAsia" w:ascii="Times New Roman" w:hAnsi="Times New Roman"/>
          <w:color w:val="auto"/>
          <w:sz w:val="20"/>
          <w:szCs w:val="20"/>
          <w:highlight w:val="none"/>
          <w:lang w:val="en-US" w:eastAsia="zh-CN"/>
        </w:rPr>
        <w:t>In the last FL summary [3], there</w:t>
      </w:r>
      <w:r>
        <w:rPr>
          <w:rFonts w:hint="default" w:ascii="Times New Roman" w:hAnsi="Times New Roman"/>
          <w:color w:val="auto"/>
          <w:sz w:val="20"/>
          <w:szCs w:val="20"/>
          <w:highlight w:val="none"/>
          <w:lang w:val="en-US" w:eastAsia="zh-CN"/>
        </w:rPr>
        <w:t>’</w:t>
      </w:r>
      <w:r>
        <w:rPr>
          <w:rFonts w:hint="eastAsia" w:ascii="Times New Roman" w:hAnsi="Times New Roman"/>
          <w:color w:val="auto"/>
          <w:sz w:val="20"/>
          <w:szCs w:val="20"/>
          <w:highlight w:val="none"/>
          <w:lang w:val="en-US" w:eastAsia="zh-CN"/>
        </w:rPr>
        <w:t>s an undetermined draft proposal concerning the standalone carrier phase positioning method: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hint="default" w:ascii="Times New Roman" w:hAnsi="Times New Roman" w:eastAsiaTheme="minorEastAsia"/>
                <w:bCs/>
                <w:sz w:val="20"/>
                <w:szCs w:val="20"/>
                <w:highlight w:val="none"/>
                <w:lang w:val="en-US" w:eastAsia="zh-CN"/>
              </w:rPr>
            </w:pPr>
            <w:r>
              <w:rPr>
                <w:rFonts w:hint="eastAsia" w:ascii="Times New Roman" w:hAnsi="Times New Roman"/>
                <w:b/>
                <w:sz w:val="20"/>
                <w:szCs w:val="20"/>
                <w:highlight w:val="none"/>
                <w:u w:val="single"/>
                <w:lang w:val="en-US" w:eastAsia="zh-CN"/>
              </w:rPr>
              <w:t>Draft proposal:</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highlight w:val="none"/>
              </w:rPr>
            </w:pPr>
            <w:r>
              <w:rPr>
                <w:rFonts w:hint="default" w:ascii="Times New Roman" w:hAnsi="Times New Roman" w:cs="Times New Roman"/>
                <w:sz w:val="20"/>
                <w:szCs w:val="20"/>
                <w:highlight w:val="none"/>
                <w:lang w:eastAsia="zh-CN"/>
              </w:rPr>
              <w:t>Further study on whether to support stand-alone carrier phase measurement reporting/carrier phase positioning in Rel-18.</w:t>
            </w:r>
          </w:p>
        </w:tc>
      </w:tr>
    </w:tbl>
    <w:p>
      <w:pPr>
        <w:keepNext w:val="0"/>
        <w:keepLines w:val="0"/>
        <w:pageBreakBefore w:val="0"/>
        <w:widowControl w:val="0"/>
        <w:kinsoku/>
        <w:wordWrap/>
        <w:overflowPunct/>
        <w:topLinePunct w:val="0"/>
        <w:autoSpaceDE/>
        <w:autoSpaceDN/>
        <w:bidi w:val="0"/>
        <w:adjustRightInd w:val="0"/>
        <w:snapToGrid w:val="0"/>
        <w:spacing w:before="180" w:beforeLines="50" w:after="180" w:afterLines="50" w:line="240" w:lineRule="auto"/>
        <w:ind w:firstLine="0" w:firstLineChars="0"/>
        <w:jc w:val="both"/>
        <w:textAlignment w:val="auto"/>
        <w:rPr>
          <w:rFonts w:hint="eastAsia" w:cs="Times New Roman"/>
          <w:color w:val="C00000"/>
          <w:kern w:val="0"/>
          <w:sz w:val="20"/>
          <w:szCs w:val="20"/>
          <w:highlight w:val="none"/>
          <w:lang w:val="en-US" w:eastAsia="zh-CN" w:bidi="ar-SA"/>
        </w:rPr>
      </w:pPr>
      <w:r>
        <w:rPr>
          <w:rFonts w:hint="eastAsia" w:ascii="Times New Roman" w:hAnsi="Times New Roman"/>
          <w:color w:val="auto"/>
          <w:sz w:val="20"/>
          <w:szCs w:val="20"/>
          <w:highlight w:val="none"/>
          <w:lang w:val="en-US" w:eastAsia="zh-CN"/>
        </w:rPr>
        <w:t xml:space="preserve">The most critical issue in </w:t>
      </w:r>
      <w:r>
        <w:rPr>
          <w:rFonts w:hint="default" w:ascii="Times New Roman" w:hAnsi="Times New Roman"/>
          <w:color w:val="auto"/>
          <w:sz w:val="20"/>
          <w:szCs w:val="20"/>
          <w:highlight w:val="none"/>
          <w:lang w:val="en-US" w:eastAsia="zh-CN"/>
        </w:rPr>
        <w:t xml:space="preserve">standalone carrier phase measurement reporting/carrier phase positioning </w:t>
      </w:r>
      <w:r>
        <w:rPr>
          <w:rFonts w:hint="eastAsia" w:ascii="Times New Roman" w:hAnsi="Times New Roman"/>
          <w:color w:val="auto"/>
          <w:sz w:val="20"/>
          <w:szCs w:val="20"/>
          <w:highlight w:val="none"/>
          <w:lang w:val="en-US" w:eastAsia="zh-CN"/>
        </w:rPr>
        <w:t>is the integer ambiguity problem. In carrier phase-assisted positioning method, the integer ambiguity can be determined or estimated based on the legacy measurement results, the determined or estimated integer ambiguity can act as a starting point of the carrier phase-related calculation. However, without the measurement result of the legacy positioning method, i.e., RSTD, RTT, UE/LMF has to calculate the integer ambiguity based on the carrier phase measurement result. One possible way is to let UE measure the carrier phase of multiple sub-carriers within a PFL (as</w:t>
      </w:r>
      <w:r>
        <w:rPr>
          <w:rFonts w:hint="default" w:ascii="Times New Roman" w:hAnsi="Times New Roman"/>
          <w:color w:val="auto"/>
          <w:sz w:val="20"/>
          <w:szCs w:val="20"/>
          <w:highlight w:val="none"/>
          <w:lang w:val="en-US" w:eastAsia="zh-CN"/>
        </w:rPr>
        <w:t> hereinafter provided in </w:t>
      </w:r>
      <w:r>
        <w:rPr>
          <w:rFonts w:hint="eastAsia" w:ascii="Times New Roman" w:hAnsi="Times New Roman"/>
          <w:color w:val="auto"/>
          <w:sz w:val="20"/>
          <w:szCs w:val="20"/>
          <w:highlight w:val="none"/>
          <w:lang w:val="en-US" w:eastAsia="zh-CN"/>
        </w:rPr>
        <w:t>section 2.4.1). Then the virtual wavelength will be larger to get more accuracy of the integer ambiguity estimation. Therefore, we have the following proposal:</w:t>
      </w:r>
    </w:p>
    <w:p>
      <w:pPr>
        <w:widowControl w:val="0"/>
        <w:snapToGrid w:val="0"/>
        <w:spacing w:after="0" w:line="240" w:lineRule="auto"/>
        <w:jc w:val="both"/>
        <w:rPr>
          <w:rFonts w:hint="eastAsia" w:ascii="Times New Roman" w:hAnsi="Times New Roman"/>
          <w:b/>
          <w:bCs/>
          <w:i/>
          <w:iCs/>
          <w:sz w:val="20"/>
          <w:szCs w:val="20"/>
          <w:highlight w:val="none"/>
        </w:rPr>
      </w:pPr>
      <w:bookmarkStart w:id="8" w:name="_Ref23542"/>
      <w:r>
        <w:rPr>
          <w:rFonts w:ascii="Times New Roman" w:hAnsi="Times New Roman"/>
          <w:b/>
          <w:bCs/>
          <w:i/>
          <w:iCs/>
          <w:sz w:val="20"/>
          <w:szCs w:val="20"/>
          <w:highlight w:val="none"/>
        </w:rPr>
        <w:t xml:space="preserve">Proposal </w:t>
      </w:r>
      <w:r>
        <w:rPr>
          <w:rFonts w:ascii="Times New Roman" w:hAnsi="Times New Roman"/>
          <w:b/>
          <w:bCs/>
          <w:i/>
          <w:iCs/>
          <w:sz w:val="20"/>
          <w:szCs w:val="20"/>
          <w:highlight w:val="none"/>
        </w:rPr>
        <w:fldChar w:fldCharType="begin"/>
      </w:r>
      <w:r>
        <w:rPr>
          <w:rFonts w:ascii="Times New Roman" w:hAnsi="Times New Roman"/>
          <w:b/>
          <w:bCs/>
          <w:i/>
          <w:iCs/>
          <w:sz w:val="20"/>
          <w:szCs w:val="20"/>
          <w:highlight w:val="none"/>
        </w:rPr>
        <w:instrText xml:space="preserve"> SEQ Proposal \* ARABIC </w:instrText>
      </w:r>
      <w:r>
        <w:rPr>
          <w:rFonts w:ascii="Times New Roman" w:hAnsi="Times New Roman"/>
          <w:b/>
          <w:bCs/>
          <w:i/>
          <w:iCs/>
          <w:sz w:val="20"/>
          <w:szCs w:val="20"/>
          <w:highlight w:val="none"/>
        </w:rPr>
        <w:fldChar w:fldCharType="separate"/>
      </w:r>
      <w:r>
        <w:rPr>
          <w:rFonts w:ascii="Times New Roman" w:hAnsi="Times New Roman"/>
          <w:b/>
          <w:bCs/>
          <w:i/>
          <w:iCs/>
          <w:sz w:val="20"/>
          <w:szCs w:val="20"/>
          <w:highlight w:val="none"/>
        </w:rPr>
        <w:t>2</w:t>
      </w:r>
      <w:r>
        <w:rPr>
          <w:rFonts w:ascii="Times New Roman" w:hAnsi="Times New Roman"/>
          <w:b/>
          <w:bCs/>
          <w:i/>
          <w:iCs/>
          <w:sz w:val="20"/>
          <w:szCs w:val="20"/>
          <w:highlight w:val="none"/>
        </w:rPr>
        <w:fldChar w:fldCharType="end"/>
      </w:r>
      <w:r>
        <w:rPr>
          <w:rFonts w:ascii="Times New Roman" w:hAnsi="Times New Roman"/>
          <w:b/>
          <w:bCs/>
          <w:i/>
          <w:iCs/>
          <w:sz w:val="20"/>
          <w:szCs w:val="20"/>
          <w:highlight w:val="none"/>
        </w:rPr>
        <w:t xml:space="preserve">: </w:t>
      </w:r>
      <w:r>
        <w:rPr>
          <w:rFonts w:hint="eastAsia" w:ascii="Times New Roman" w:hAnsi="Times New Roman"/>
          <w:b/>
          <w:bCs/>
          <w:i/>
          <w:iCs/>
          <w:sz w:val="20"/>
          <w:szCs w:val="20"/>
          <w:highlight w:val="none"/>
          <w:lang w:val="en-US" w:eastAsia="zh-CN"/>
        </w:rPr>
        <w:t>Support standalone carrier phase measurement report/carrier phase positioning in Rel-18</w:t>
      </w:r>
      <w:r>
        <w:rPr>
          <w:rFonts w:hint="eastAsia" w:ascii="Times New Roman" w:hAnsi="Times New Roman"/>
          <w:b/>
          <w:bCs/>
          <w:i/>
          <w:iCs/>
          <w:sz w:val="20"/>
          <w:szCs w:val="20"/>
          <w:highlight w:val="none"/>
        </w:rPr>
        <w:t xml:space="preserve">. </w:t>
      </w:r>
      <w:bookmarkEnd w:id="8"/>
    </w:p>
    <w:p>
      <w:pPr>
        <w:widowControl w:val="0"/>
        <w:snapToGrid w:val="0"/>
        <w:spacing w:after="0" w:line="240" w:lineRule="auto"/>
        <w:jc w:val="both"/>
        <w:rPr>
          <w:rFonts w:hint="eastAsia" w:ascii="Times New Roman" w:hAnsi="Times New Roman"/>
          <w:b/>
          <w:bCs/>
          <w:i/>
          <w:iCs/>
          <w:sz w:val="20"/>
          <w:szCs w:val="20"/>
          <w:highlight w:val="none"/>
        </w:rPr>
      </w:pPr>
    </w:p>
    <w:p>
      <w:pPr>
        <w:pStyle w:val="4"/>
        <w:numPr>
          <w:ilvl w:val="1"/>
          <w:numId w:val="0"/>
        </w:numPr>
        <w:ind w:left="220" w:leftChars="100"/>
        <w:rPr>
          <w:rFonts w:hint="default" w:ascii="Times New Roman" w:hAnsi="Times New Roman" w:cs="Times New Roman"/>
          <w:b/>
          <w:bCs/>
          <w:highlight w:val="none"/>
          <w:lang w:val="en-US"/>
        </w:rPr>
      </w:pPr>
      <w:r>
        <w:rPr>
          <w:rFonts w:hint="eastAsia" w:ascii="Times New Roman" w:hAnsi="Times New Roman" w:cs="Times New Roman"/>
          <w:b/>
          <w:bCs/>
          <w:highlight w:val="none"/>
          <w:lang w:val="en-US"/>
        </w:rPr>
        <w:t>2.</w:t>
      </w:r>
      <w:r>
        <w:rPr>
          <w:rFonts w:hint="eastAsia" w:ascii="Times New Roman" w:hAnsi="Times New Roman" w:cs="Times New Roman"/>
          <w:b/>
          <w:bCs/>
          <w:highlight w:val="none"/>
          <w:lang w:val="en-US" w:eastAsia="zh-CN"/>
        </w:rPr>
        <w:t>1.3</w:t>
      </w:r>
      <w:r>
        <w:rPr>
          <w:rFonts w:hint="eastAsia" w:ascii="Times New Roman" w:hAnsi="Times New Roman" w:cs="Times New Roman"/>
          <w:b/>
          <w:bCs/>
          <w:highlight w:val="none"/>
          <w:lang w:val="en-US"/>
        </w:rPr>
        <w:t xml:space="preserve"> Carrier phase </w:t>
      </w:r>
      <w:r>
        <w:rPr>
          <w:rFonts w:hint="eastAsia" w:ascii="Times New Roman" w:hAnsi="Times New Roman" w:cs="Times New Roman"/>
          <w:b/>
          <w:bCs/>
          <w:highlight w:val="none"/>
          <w:lang w:val="en-US" w:eastAsia="zh-CN"/>
        </w:rPr>
        <w:t xml:space="preserve">measurement quality </w:t>
      </w:r>
      <w:r>
        <w:rPr>
          <w:rFonts w:hint="eastAsia" w:ascii="Times New Roman" w:hAnsi="Times New Roman" w:cs="Times New Roman"/>
          <w:b/>
          <w:bCs/>
          <w:highlight w:val="none"/>
          <w:lang w:val="en-US"/>
        </w:rPr>
        <w:t>report</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the indication of </w:t>
      </w:r>
      <w:r>
        <w:rPr>
          <w:rFonts w:hint="eastAsia" w:ascii="Times New Roman" w:hAnsi="Times New Roman" w:eastAsia="宋体"/>
          <w:iCs/>
          <w:sz w:val="20"/>
          <w:szCs w:val="20"/>
          <w:highlight w:val="none"/>
        </w:rPr>
        <w:t>carrier phase measurement quality</w:t>
      </w:r>
      <w:r>
        <w:rPr>
          <w:rFonts w:hint="eastAsia" w:ascii="Times New Roman" w:hAnsi="Times New Roman" w:eastAsia="宋体"/>
          <w:sz w:val="20"/>
          <w:szCs w:val="20"/>
          <w:highlight w:val="none"/>
        </w:rPr>
        <w:t xml:space="preserve">, </w:t>
      </w:r>
      <w:r>
        <w:rPr>
          <w:rFonts w:ascii="Times New Roman" w:hAnsi="Times New Roman" w:eastAsia="宋体"/>
          <w:sz w:val="20"/>
          <w:szCs w:val="20"/>
          <w:highlight w:val="none"/>
        </w:rPr>
        <w:t xml:space="preserve">the following </w:t>
      </w:r>
      <w:r>
        <w:rPr>
          <w:rFonts w:hint="eastAsia" w:ascii="Times New Roman" w:hAnsi="Times New Roman" w:eastAsia="宋体"/>
          <w:sz w:val="20"/>
          <w:szCs w:val="20"/>
          <w:highlight w:val="none"/>
        </w:rPr>
        <w:t>agreement was achieved in RAN1#112bis-e [</w:t>
      </w:r>
      <w:r>
        <w:rPr>
          <w:rFonts w:hint="eastAsia" w:ascii="Times New Roman" w:hAnsi="Times New Roman" w:eastAsia="宋体"/>
          <w:sz w:val="20"/>
          <w:szCs w:val="20"/>
          <w:highlight w:val="none"/>
          <w:lang w:val="en-US" w:eastAsia="zh-CN"/>
        </w:rPr>
        <w:t>2</w:t>
      </w:r>
      <w:r>
        <w:rPr>
          <w:rFonts w:hint="eastAsia" w:ascii="Times New Roman" w:hAnsi="Times New Roman" w:eastAsia="宋体"/>
          <w:sz w:val="20"/>
          <w:szCs w:val="20"/>
          <w:highlight w:val="none"/>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highlight w:val="none"/>
                <w:u w:val="single"/>
              </w:rPr>
            </w:pPr>
            <w:r>
              <w:rPr>
                <w:rFonts w:ascii="Times New Roman" w:hAnsi="Times New Roman"/>
                <w:b/>
                <w:sz w:val="20"/>
                <w:szCs w:val="20"/>
                <w:highlight w:val="none"/>
                <w:u w:val="single"/>
              </w:rPr>
              <w:t>Agreement</w:t>
            </w:r>
          </w:p>
          <w:p>
            <w:pPr>
              <w:pStyle w:val="96"/>
              <w:snapToGrid w:val="0"/>
              <w:spacing w:after="0" w:line="240" w:lineRule="auto"/>
              <w:ind w:left="0"/>
              <w:rPr>
                <w:highlight w:val="none"/>
              </w:rPr>
            </w:pPr>
            <w:r>
              <w:rPr>
                <w:iCs/>
                <w:sz w:val="20"/>
                <w:highlight w:val="none"/>
              </w:rPr>
              <w:t>Further study whether and how to support a UE/TRP to report the carrier phase measurement quality indication for corresponding the phase measurements.</w:t>
            </w:r>
            <w:r>
              <w:rPr>
                <w:sz w:val="20"/>
                <w:highlight w:val="none"/>
              </w:rPr>
              <w:t> </w:t>
            </w:r>
          </w:p>
        </w:tc>
      </w:tr>
    </w:tbl>
    <w:p>
      <w:pPr>
        <w:adjustRightInd w:val="0"/>
        <w:snapToGrid w:val="0"/>
        <w:spacing w:after="0" w:line="240" w:lineRule="auto"/>
        <w:rPr>
          <w:rFonts w:ascii="Times New Roman" w:hAnsi="Times New Roman"/>
          <w:b/>
          <w:sz w:val="20"/>
          <w:szCs w:val="20"/>
          <w:highlight w:val="none"/>
          <w:u w:val="single"/>
        </w:rPr>
      </w:pPr>
    </w:p>
    <w:p>
      <w:pPr>
        <w:pStyle w:val="56"/>
        <w:adjustRightInd w:val="0"/>
        <w:snapToGrid w:val="0"/>
        <w:ind w:firstLine="0" w:firstLineChars="0"/>
        <w:rPr>
          <w:kern w:val="0"/>
          <w:sz w:val="20"/>
          <w:szCs w:val="20"/>
          <w:highlight w:val="none"/>
        </w:rPr>
      </w:pPr>
      <w:r>
        <w:rPr>
          <w:kern w:val="0"/>
          <w:sz w:val="20"/>
          <w:szCs w:val="20"/>
          <w:highlight w:val="none"/>
        </w:rPr>
        <w:t xml:space="preserve">Similar </w:t>
      </w:r>
      <w:r>
        <w:rPr>
          <w:rFonts w:hint="eastAsia"/>
          <w:kern w:val="0"/>
          <w:sz w:val="20"/>
          <w:szCs w:val="20"/>
          <w:highlight w:val="none"/>
        </w:rPr>
        <w:t xml:space="preserve">to </w:t>
      </w:r>
      <w:r>
        <w:rPr>
          <w:kern w:val="0"/>
          <w:sz w:val="20"/>
          <w:szCs w:val="20"/>
          <w:highlight w:val="none"/>
        </w:rPr>
        <w:t>other positioning measurement</w:t>
      </w:r>
      <w:r>
        <w:rPr>
          <w:rFonts w:hint="eastAsia"/>
          <w:kern w:val="0"/>
          <w:sz w:val="20"/>
          <w:szCs w:val="20"/>
          <w:highlight w:val="none"/>
        </w:rPr>
        <w:t>s</w:t>
      </w:r>
      <w:r>
        <w:rPr>
          <w:kern w:val="0"/>
          <w:sz w:val="20"/>
          <w:szCs w:val="20"/>
          <w:highlight w:val="none"/>
        </w:rPr>
        <w:t xml:space="preserve">, it is important for the receiver to provide the measurement quality indication to the LMF. For NR timing measurements, </w:t>
      </w:r>
      <w:r>
        <w:rPr>
          <w:i/>
          <w:iCs/>
          <w:kern w:val="0"/>
          <w:sz w:val="20"/>
          <w:szCs w:val="20"/>
          <w:highlight w:val="none"/>
        </w:rPr>
        <w:t>NR-TimingQuality</w:t>
      </w:r>
      <w:r>
        <w:rPr>
          <w:kern w:val="0"/>
          <w:sz w:val="20"/>
          <w:szCs w:val="20"/>
          <w:highlight w:val="none"/>
        </w:rPr>
        <w:t xml:space="preserve"> is defined in TS 37.355</w:t>
      </w:r>
      <w:r>
        <w:rPr>
          <w:rFonts w:hint="eastAsia"/>
          <w:kern w:val="0"/>
          <w:sz w:val="20"/>
          <w:szCs w:val="20"/>
          <w:highlight w:val="none"/>
          <w:lang w:val="en-US" w:eastAsia="zh-CN"/>
        </w:rPr>
        <w:t xml:space="preserve">, which indicates </w:t>
      </w:r>
      <w:r>
        <w:rPr>
          <w:kern w:val="0"/>
          <w:sz w:val="20"/>
          <w:szCs w:val="20"/>
          <w:highlight w:val="none"/>
        </w:rPr>
        <w:t xml:space="preserve">the </w:t>
      </w:r>
      <w:r>
        <w:rPr>
          <w:rFonts w:hint="eastAsia"/>
          <w:kern w:val="0"/>
          <w:sz w:val="20"/>
          <w:szCs w:val="20"/>
          <w:highlight w:val="none"/>
        </w:rPr>
        <w:t xml:space="preserve">measurement </w:t>
      </w:r>
      <w:r>
        <w:rPr>
          <w:kern w:val="0"/>
          <w:sz w:val="20"/>
          <w:szCs w:val="20"/>
          <w:highlight w:val="none"/>
        </w:rPr>
        <w:t xml:space="preserve">quality of a timing </w:t>
      </w:r>
      <w:r>
        <w:rPr>
          <w:rFonts w:hint="eastAsia"/>
          <w:kern w:val="0"/>
          <w:sz w:val="20"/>
          <w:szCs w:val="20"/>
          <w:highlight w:val="none"/>
          <w:lang w:val="en-US" w:eastAsia="zh-CN"/>
        </w:rPr>
        <w:t xml:space="preserve">measurement </w:t>
      </w:r>
      <w:r>
        <w:rPr>
          <w:kern w:val="0"/>
          <w:sz w:val="20"/>
          <w:szCs w:val="20"/>
          <w:highlight w:val="none"/>
        </w:rPr>
        <w:t>(e.g., TOA measurement).</w:t>
      </w:r>
      <w:r>
        <w:rPr>
          <w:rFonts w:hint="eastAsia"/>
          <w:kern w:val="0"/>
          <w:sz w:val="20"/>
          <w:szCs w:val="20"/>
          <w:highlight w:val="none"/>
        </w:rPr>
        <w:t xml:space="preserve"> The IE in the </w:t>
      </w:r>
      <w:r>
        <w:rPr>
          <w:i/>
          <w:iCs/>
          <w:kern w:val="0"/>
          <w:sz w:val="20"/>
          <w:szCs w:val="20"/>
          <w:highlight w:val="none"/>
        </w:rPr>
        <w:t>NR-TimingQuality</w:t>
      </w:r>
      <w:r>
        <w:rPr>
          <w:kern w:val="0"/>
          <w:sz w:val="20"/>
          <w:szCs w:val="20"/>
          <w:highlight w:val="none"/>
        </w:rPr>
        <w:t xml:space="preserve"> </w:t>
      </w:r>
      <w:r>
        <w:rPr>
          <w:rFonts w:hint="eastAsia"/>
          <w:kern w:val="0"/>
          <w:sz w:val="20"/>
          <w:szCs w:val="20"/>
          <w:highlight w:val="none"/>
        </w:rPr>
        <w:t xml:space="preserve">field </w:t>
      </w:r>
      <w:r>
        <w:rPr>
          <w:kern w:val="0"/>
          <w:sz w:val="20"/>
          <w:szCs w:val="20"/>
          <w:highlight w:val="none"/>
        </w:rPr>
        <w:t xml:space="preserve">includes </w:t>
      </w:r>
      <w:r>
        <w:rPr>
          <w:i/>
          <w:iCs/>
          <w:kern w:val="0"/>
          <w:sz w:val="20"/>
          <w:szCs w:val="20"/>
          <w:highlight w:val="none"/>
        </w:rPr>
        <w:t>timingQualityValue</w:t>
      </w:r>
      <w:r>
        <w:rPr>
          <w:kern w:val="0"/>
          <w:sz w:val="20"/>
          <w:szCs w:val="20"/>
          <w:highlight w:val="none"/>
        </w:rPr>
        <w:t xml:space="preserve"> for an estimate of </w:t>
      </w:r>
      <w:r>
        <w:rPr>
          <w:rFonts w:hint="eastAsia"/>
          <w:kern w:val="0"/>
          <w:sz w:val="20"/>
          <w:szCs w:val="20"/>
          <w:highlight w:val="none"/>
        </w:rPr>
        <w:t xml:space="preserve">the </w:t>
      </w:r>
      <w:r>
        <w:rPr>
          <w:kern w:val="0"/>
          <w:sz w:val="20"/>
          <w:szCs w:val="20"/>
          <w:highlight w:val="none"/>
        </w:rPr>
        <w:t xml:space="preserve">uncertainty of the timing value and </w:t>
      </w:r>
      <w:r>
        <w:rPr>
          <w:i/>
          <w:iCs/>
          <w:kern w:val="0"/>
          <w:sz w:val="20"/>
          <w:szCs w:val="20"/>
          <w:highlight w:val="none"/>
        </w:rPr>
        <w:t>timingQualityResolution</w:t>
      </w:r>
      <w:r>
        <w:rPr>
          <w:kern w:val="0"/>
          <w:sz w:val="20"/>
          <w:szCs w:val="20"/>
          <w:highlight w:val="none"/>
        </w:rPr>
        <w:t xml:space="preserve"> for the resolution used in the </w:t>
      </w:r>
      <w:r>
        <w:rPr>
          <w:i/>
          <w:iCs/>
          <w:kern w:val="0"/>
          <w:sz w:val="20"/>
          <w:szCs w:val="20"/>
          <w:highlight w:val="none"/>
        </w:rPr>
        <w:t>timingQualityValue</w:t>
      </w:r>
      <w:r>
        <w:rPr>
          <w:kern w:val="0"/>
          <w:sz w:val="20"/>
          <w:szCs w:val="20"/>
          <w:highlight w:val="none"/>
        </w:rPr>
        <w:t xml:space="preserve"> field. </w:t>
      </w:r>
      <w:r>
        <w:rPr>
          <w:rFonts w:hint="eastAsia"/>
          <w:kern w:val="0"/>
          <w:sz w:val="20"/>
          <w:szCs w:val="20"/>
          <w:highlight w:val="none"/>
        </w:rPr>
        <w:t xml:space="preserve">And </w:t>
      </w:r>
      <w:r>
        <w:rPr>
          <w:kern w:val="0"/>
          <w:sz w:val="20"/>
          <w:szCs w:val="20"/>
          <w:highlight w:val="none"/>
        </w:rPr>
        <w:t>GNSS measurement</w:t>
      </w:r>
      <w:r>
        <w:rPr>
          <w:rFonts w:hint="eastAsia"/>
          <w:kern w:val="0"/>
          <w:sz w:val="20"/>
          <w:szCs w:val="20"/>
          <w:highlight w:val="none"/>
        </w:rPr>
        <w:t xml:space="preserve"> also includes several IEs that</w:t>
      </w:r>
      <w:r>
        <w:rPr>
          <w:kern w:val="0"/>
          <w:sz w:val="20"/>
          <w:szCs w:val="20"/>
          <w:highlight w:val="none"/>
        </w:rPr>
        <w:t xml:space="preserve"> are related to measurement quality</w:t>
      </w:r>
      <w:r>
        <w:rPr>
          <w:rFonts w:hint="eastAsia"/>
          <w:kern w:val="0"/>
          <w:sz w:val="20"/>
          <w:szCs w:val="20"/>
          <w:highlight w:val="none"/>
        </w:rPr>
        <w:t xml:space="preserve">. Therefore, a quality indicator for carrier phase measurement </w:t>
      </w:r>
      <w:r>
        <w:rPr>
          <w:rFonts w:hint="eastAsia"/>
          <w:kern w:val="0"/>
          <w:sz w:val="20"/>
          <w:szCs w:val="20"/>
          <w:highlight w:val="none"/>
          <w:lang w:val="en-US" w:eastAsia="zh-CN"/>
        </w:rPr>
        <w:t>can also be supported</w:t>
      </w:r>
      <w:r>
        <w:rPr>
          <w:rFonts w:hint="eastAsia"/>
          <w:kern w:val="0"/>
          <w:sz w:val="20"/>
          <w:szCs w:val="20"/>
          <w:highlight w:val="none"/>
        </w:rPr>
        <w:t xml:space="preserve">. </w:t>
      </w:r>
    </w:p>
    <w:p>
      <w:pPr>
        <w:widowControl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 xml:space="preserve">In general, there might be multi-PRS transmitted between the same TRP and </w:t>
      </w:r>
      <w:r>
        <w:rPr>
          <w:rFonts w:hint="eastAsia" w:ascii="Times New Roman" w:hAnsi="Times New Roman"/>
          <w:sz w:val="20"/>
          <w:szCs w:val="20"/>
          <w:highlight w:val="none"/>
        </w:rPr>
        <w:t>UE</w:t>
      </w:r>
      <w:r>
        <w:rPr>
          <w:rFonts w:ascii="Times New Roman" w:hAnsi="Times New Roman"/>
          <w:sz w:val="20"/>
          <w:szCs w:val="20"/>
          <w:highlight w:val="none"/>
        </w:rPr>
        <w:t xml:space="preserve"> pair with </w:t>
      </w:r>
      <w:r>
        <w:rPr>
          <w:rFonts w:hint="eastAsia" w:ascii="Times New Roman" w:hAnsi="Times New Roman"/>
          <w:sz w:val="20"/>
          <w:szCs w:val="20"/>
          <w:highlight w:val="none"/>
        </w:rPr>
        <w:t xml:space="preserve">the same or </w:t>
      </w:r>
      <w:r>
        <w:rPr>
          <w:rFonts w:ascii="Times New Roman" w:hAnsi="Times New Roman"/>
          <w:sz w:val="20"/>
          <w:szCs w:val="20"/>
          <w:highlight w:val="none"/>
        </w:rPr>
        <w:t xml:space="preserve">different </w:t>
      </w:r>
      <w:r>
        <w:rPr>
          <w:rFonts w:hint="eastAsia" w:ascii="Times New Roman" w:hAnsi="Times New Roman"/>
          <w:sz w:val="20"/>
          <w:szCs w:val="20"/>
          <w:highlight w:val="none"/>
        </w:rPr>
        <w:t>PFL/</w:t>
      </w:r>
      <w:r>
        <w:rPr>
          <w:rFonts w:ascii="Times New Roman" w:hAnsi="Times New Roman"/>
          <w:sz w:val="20"/>
          <w:szCs w:val="20"/>
          <w:highlight w:val="none"/>
        </w:rPr>
        <w:t>carriers in a positioning process</w:t>
      </w:r>
      <w:r>
        <w:rPr>
          <w:rFonts w:hint="eastAsia" w:ascii="Times New Roman" w:hAnsi="Times New Roman"/>
          <w:sz w:val="20"/>
          <w:szCs w:val="20"/>
          <w:highlight w:val="none"/>
        </w:rPr>
        <w:t>, and t</w:t>
      </w:r>
      <w:r>
        <w:rPr>
          <w:rFonts w:ascii="Times New Roman" w:hAnsi="Times New Roman"/>
          <w:sz w:val="20"/>
          <w:szCs w:val="20"/>
          <w:highlight w:val="none"/>
        </w:rPr>
        <w:t xml:space="preserve">he </w:t>
      </w:r>
      <w:r>
        <w:rPr>
          <w:rFonts w:hint="eastAsia" w:ascii="Times New Roman" w:hAnsi="Times New Roman"/>
          <w:sz w:val="20"/>
          <w:szCs w:val="20"/>
          <w:highlight w:val="none"/>
        </w:rPr>
        <w:t xml:space="preserve">measured </w:t>
      </w:r>
      <w:r>
        <w:rPr>
          <w:rFonts w:ascii="Times New Roman" w:hAnsi="Times New Roman"/>
          <w:sz w:val="20"/>
          <w:szCs w:val="20"/>
          <w:highlight w:val="none"/>
        </w:rPr>
        <w:t>carrier phase</w:t>
      </w:r>
      <w:r>
        <w:rPr>
          <w:rFonts w:hint="eastAsia" w:ascii="Times New Roman" w:hAnsi="Times New Roman"/>
          <w:sz w:val="20"/>
          <w:szCs w:val="20"/>
          <w:highlight w:val="none"/>
        </w:rPr>
        <w:t>s of these (sub-)carriers</w:t>
      </w:r>
      <w:r>
        <w:rPr>
          <w:rFonts w:ascii="Times New Roman" w:hAnsi="Times New Roman"/>
          <w:sz w:val="20"/>
          <w:szCs w:val="20"/>
          <w:highlight w:val="none"/>
        </w:rPr>
        <w:t xml:space="preserve"> might be different</w:t>
      </w:r>
      <w:r>
        <w:rPr>
          <w:rFonts w:hint="eastAsia" w:ascii="Times New Roman" w:hAnsi="Times New Roman"/>
          <w:sz w:val="20"/>
          <w:szCs w:val="20"/>
          <w:highlight w:val="none"/>
        </w:rPr>
        <w:t xml:space="preserve">. The number of reported PRS carrier phase measurements, physical channel environment and PRS propagation multi-path could affect the accuracy of carrier phase evaluation. Taking these factors into consideration, </w:t>
      </w:r>
      <w:r>
        <w:rPr>
          <w:rFonts w:hint="eastAsia" w:ascii="Times New Roman" w:hAnsi="Times New Roman"/>
          <w:sz w:val="20"/>
          <w:szCs w:val="20"/>
          <w:highlight w:val="none"/>
          <w:lang w:val="en-US" w:eastAsia="zh-CN"/>
        </w:rPr>
        <w:t xml:space="preserve">a </w:t>
      </w:r>
      <w:r>
        <w:rPr>
          <w:rFonts w:hint="eastAsia" w:ascii="Times New Roman" w:hAnsi="Times New Roman"/>
          <w:sz w:val="20"/>
          <w:szCs w:val="20"/>
          <w:highlight w:val="none"/>
        </w:rPr>
        <w:t xml:space="preserve">UE can report the uncertainty of phase measurement </w:t>
      </w:r>
      <w:r>
        <w:rPr>
          <w:rFonts w:hint="eastAsia" w:ascii="Times New Roman" w:hAnsi="Times New Roman"/>
          <w:sz w:val="20"/>
          <w:szCs w:val="20"/>
          <w:highlight w:val="none"/>
          <w:lang w:val="en-US" w:eastAsia="zh-CN"/>
        </w:rPr>
        <w:t>or standard deviation/variance of carrier phase measurement,</w:t>
      </w:r>
      <w:r>
        <w:rPr>
          <w:rFonts w:hint="eastAsia" w:ascii="Times New Roman" w:hAnsi="Times New Roman"/>
          <w:sz w:val="20"/>
          <w:szCs w:val="20"/>
          <w:highlight w:val="none"/>
        </w:rPr>
        <w:t xml:space="preserve"> further provides the corresponding phase measurement quality or phase measurement confidence, which is similar to the existing timing measurement quality or angle measurement quality. </w:t>
      </w:r>
      <w:r>
        <w:rPr>
          <w:rFonts w:ascii="Times New Roman" w:hAnsi="Times New Roman"/>
          <w:sz w:val="20"/>
          <w:szCs w:val="20"/>
          <w:highlight w:val="none"/>
        </w:rPr>
        <w:t xml:space="preserve">Hence, we have the following </w:t>
      </w:r>
      <w:r>
        <w:rPr>
          <w:rFonts w:hint="eastAsia" w:ascii="Times New Roman" w:hAnsi="Times New Roman"/>
          <w:sz w:val="20"/>
          <w:szCs w:val="20"/>
          <w:highlight w:val="none"/>
        </w:rPr>
        <w:t>proposal:</w:t>
      </w:r>
    </w:p>
    <w:p>
      <w:pPr>
        <w:pStyle w:val="13"/>
        <w:snapToGrid w:val="0"/>
        <w:spacing w:before="180" w:beforeLines="50" w:after="180" w:afterLines="50"/>
        <w:jc w:val="both"/>
        <w:rPr>
          <w:rFonts w:hint="eastAsia"/>
          <w:i/>
          <w:iCs/>
          <w:highlight w:val="none"/>
        </w:rPr>
      </w:pPr>
      <w:bookmarkStart w:id="9" w:name="_Ref18399"/>
      <w:r>
        <w:rPr>
          <w:i/>
          <w:highlight w:val="none"/>
        </w:rPr>
        <w:t xml:space="preserve">Proposal </w:t>
      </w:r>
      <w:r>
        <w:rPr>
          <w:i/>
          <w:highlight w:val="none"/>
        </w:rPr>
        <w:fldChar w:fldCharType="begin"/>
      </w:r>
      <w:r>
        <w:rPr>
          <w:i/>
          <w:highlight w:val="none"/>
        </w:rPr>
        <w:instrText xml:space="preserve"> SEQ Proposal \* ARABIC </w:instrText>
      </w:r>
      <w:r>
        <w:rPr>
          <w:i/>
          <w:highlight w:val="none"/>
        </w:rPr>
        <w:fldChar w:fldCharType="separate"/>
      </w:r>
      <w:r>
        <w:rPr>
          <w:i/>
          <w:highlight w:val="none"/>
        </w:rPr>
        <w:t>3</w:t>
      </w:r>
      <w:r>
        <w:rPr>
          <w:i/>
          <w:highlight w:val="none"/>
        </w:rPr>
        <w:fldChar w:fldCharType="end"/>
      </w:r>
      <w:r>
        <w:rPr>
          <w:rFonts w:hint="eastAsia"/>
          <w:i/>
          <w:highlight w:val="none"/>
        </w:rPr>
        <w:t>:</w:t>
      </w:r>
      <w:r>
        <w:rPr>
          <w:i/>
          <w:highlight w:val="none"/>
        </w:rPr>
        <w:t xml:space="preserve"> </w:t>
      </w:r>
      <w:r>
        <w:rPr>
          <w:rFonts w:hint="eastAsia"/>
          <w:i/>
          <w:iCs/>
          <w:highlight w:val="none"/>
          <w:lang w:val="en-US" w:eastAsia="zh-CN"/>
        </w:rPr>
        <w:t>Support UE/TRP reporting the carrier phase measurement quality together with the phase measurement result</w:t>
      </w:r>
      <w:r>
        <w:rPr>
          <w:rFonts w:hint="eastAsia"/>
          <w:i/>
          <w:iCs/>
          <w:highlight w:val="none"/>
        </w:rPr>
        <w:t>.</w:t>
      </w:r>
      <w:bookmarkEnd w:id="9"/>
    </w:p>
    <w:p>
      <w:pPr>
        <w:pStyle w:val="4"/>
        <w:numPr>
          <w:ilvl w:val="1"/>
          <w:numId w:val="0"/>
        </w:numPr>
        <w:ind w:left="220" w:leftChars="100"/>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rPr>
        <w:t>2.</w:t>
      </w:r>
      <w:r>
        <w:rPr>
          <w:rFonts w:hint="eastAsia" w:ascii="Times New Roman" w:hAnsi="Times New Roman" w:cs="Times New Roman"/>
          <w:b/>
          <w:bCs/>
          <w:color w:val="auto"/>
          <w:highlight w:val="none"/>
          <w:lang w:val="en-US" w:eastAsia="zh-CN"/>
        </w:rPr>
        <w:t>1.4</w:t>
      </w:r>
      <w:r>
        <w:rPr>
          <w:rFonts w:hint="eastAsia" w:ascii="Times New Roman" w:hAnsi="Times New Roman" w:cs="Times New Roman"/>
          <w:b/>
          <w:bCs/>
          <w:color w:val="auto"/>
          <w:highlight w:val="none"/>
          <w:lang w:val="en-US"/>
        </w:rPr>
        <w:t xml:space="preserve"> </w:t>
      </w:r>
      <w:r>
        <w:rPr>
          <w:rFonts w:hint="eastAsia" w:ascii="Times New Roman" w:hAnsi="Times New Roman" w:cs="Times New Roman"/>
          <w:b/>
          <w:bCs/>
          <w:color w:val="auto"/>
          <w:highlight w:val="none"/>
          <w:lang w:val="en-US" w:eastAsia="zh-CN"/>
        </w:rPr>
        <w:t xml:space="preserve">Number of samples (instance) in carrier phase measurement report </w:t>
      </w:r>
    </w:p>
    <w:p>
      <w:pPr>
        <w:widowControl w:val="0"/>
        <w:snapToGrid w:val="0"/>
        <w:spacing w:before="180" w:beforeLines="50" w:after="180" w:afterLines="50" w:line="240" w:lineRule="auto"/>
        <w:jc w:val="both"/>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rPr>
        <w:t>In Rel-</w:t>
      </w:r>
      <w:r>
        <w:rPr>
          <w:rFonts w:hint="eastAsia" w:ascii="Times New Roman" w:hAnsi="Times New Roman"/>
          <w:sz w:val="20"/>
          <w:szCs w:val="20"/>
          <w:highlight w:val="none"/>
          <w:lang w:val="en-US" w:eastAsia="zh-CN"/>
        </w:rPr>
        <w:t>16</w:t>
      </w:r>
      <w:r>
        <w:rPr>
          <w:rFonts w:hint="eastAsia" w:ascii="Times New Roman" w:hAnsi="Times New Roman"/>
          <w:sz w:val="20"/>
          <w:szCs w:val="20"/>
          <w:highlight w:val="none"/>
          <w:lang w:val="en-US"/>
        </w:rPr>
        <w:t xml:space="preserve">, </w:t>
      </w:r>
      <w:r>
        <w:rPr>
          <w:rFonts w:hint="eastAsia" w:ascii="Times New Roman" w:hAnsi="Times New Roman"/>
          <w:sz w:val="20"/>
          <w:szCs w:val="20"/>
          <w:highlight w:val="none"/>
          <w:lang w:val="en-US" w:eastAsia="zh-CN"/>
        </w:rPr>
        <w:t>a UE/TRP is enabled to measure M=4 PRS samples for</w:t>
      </w:r>
      <w:r>
        <w:rPr>
          <w:rFonts w:hint="default" w:ascii="Times New Roman" w:hAnsi="Times New Roman"/>
          <w:sz w:val="20"/>
          <w:szCs w:val="20"/>
          <w:highlight w:val="none"/>
          <w:lang w:val="en-US" w:eastAsia="zh-CN"/>
        </w:rPr>
        <w:t xml:space="preserve"> a single measurement report </w:t>
      </w:r>
      <w:r>
        <w:rPr>
          <w:rFonts w:hint="eastAsia" w:ascii="Times New Roman" w:hAnsi="Times New Roman"/>
          <w:sz w:val="20"/>
          <w:szCs w:val="20"/>
          <w:highlight w:val="none"/>
          <w:lang w:val="en-US" w:eastAsia="zh-CN"/>
        </w:rPr>
        <w:t>element</w:t>
      </w:r>
      <w:r>
        <w:rPr>
          <w:rFonts w:hint="default" w:ascii="Times New Roman" w:hAnsi="Times New Roman"/>
          <w:sz w:val="20"/>
          <w:szCs w:val="20"/>
          <w:highlight w:val="none"/>
          <w:lang w:val="en-US" w:eastAsia="zh-CN"/>
        </w:rPr>
        <w:t xml:space="preserve">, </w:t>
      </w:r>
      <w:r>
        <w:rPr>
          <w:rFonts w:hint="eastAsia" w:ascii="Times New Roman" w:hAnsi="Times New Roman"/>
          <w:sz w:val="20"/>
          <w:szCs w:val="20"/>
          <w:highlight w:val="none"/>
          <w:lang w:val="en-US" w:eastAsia="zh-CN"/>
        </w:rPr>
        <w:t>this is applicable for current legacy measurements, including RSTD, RSRP, RSRPP and Rx-Tx time difference measurement. In Rel-17, M = 1 or 2 is further introduced for measurement latency reduction.</w:t>
      </w:r>
    </w:p>
    <w:p>
      <w:pPr>
        <w:widowControl w:val="0"/>
        <w:snapToGrid w:val="0"/>
        <w:spacing w:before="180" w:beforeLines="50" w:after="180" w:afterLines="50" w:line="240" w:lineRule="auto"/>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Different from these legacy measurements, the measurement results of carrier phase and carrier phase difference for different samples (or instances) can be different even if the measured samples or instances are from the same PFL. The change of carrier phase of different samples can be attributed to the variation of different error sources, such as the initial phase offset, frequency error, and ARP error, or the movement of UE. From our perspective, there is no need to specify M&gt;1 samples are used for carrier phase measurement. Hence, we have the following proposal:</w:t>
      </w:r>
    </w:p>
    <w:p>
      <w:pPr>
        <w:pStyle w:val="13"/>
        <w:snapToGrid w:val="0"/>
        <w:spacing w:before="180" w:beforeLines="50" w:after="180" w:afterLines="50"/>
        <w:jc w:val="both"/>
        <w:rPr>
          <w:rFonts w:hint="default"/>
          <w:i/>
          <w:highlight w:val="none"/>
          <w:lang w:val="en-US" w:eastAsia="zh-CN"/>
        </w:rPr>
      </w:pPr>
      <w:bookmarkStart w:id="10" w:name="_Ref23552"/>
      <w:r>
        <w:rPr>
          <w:i/>
          <w:highlight w:val="none"/>
        </w:rPr>
        <w:t xml:space="preserve">Proposal </w:t>
      </w:r>
      <w:r>
        <w:rPr>
          <w:i/>
          <w:highlight w:val="none"/>
        </w:rPr>
        <w:fldChar w:fldCharType="begin"/>
      </w:r>
      <w:r>
        <w:rPr>
          <w:i/>
          <w:highlight w:val="none"/>
        </w:rPr>
        <w:instrText xml:space="preserve"> SEQ Proposal \* ARABIC </w:instrText>
      </w:r>
      <w:r>
        <w:rPr>
          <w:i/>
          <w:highlight w:val="none"/>
        </w:rPr>
        <w:fldChar w:fldCharType="separate"/>
      </w:r>
      <w:r>
        <w:rPr>
          <w:i/>
          <w:highlight w:val="none"/>
        </w:rPr>
        <w:t>4</w:t>
      </w:r>
      <w:r>
        <w:rPr>
          <w:i/>
          <w:highlight w:val="none"/>
        </w:rPr>
        <w:fldChar w:fldCharType="end"/>
      </w:r>
      <w:r>
        <w:rPr>
          <w:rFonts w:hint="eastAsia"/>
          <w:i/>
          <w:highlight w:val="none"/>
        </w:rPr>
        <w:t>:</w:t>
      </w:r>
      <w:r>
        <w:rPr>
          <w:i/>
          <w:highlight w:val="none"/>
        </w:rPr>
        <w:t xml:space="preserve"> </w:t>
      </w:r>
      <w:r>
        <w:rPr>
          <w:rFonts w:hint="eastAsia"/>
          <w:i/>
          <w:highlight w:val="none"/>
          <w:lang w:val="en-US" w:eastAsia="zh-CN"/>
        </w:rPr>
        <w:t>For carrier phase measurement report, only support M = 1 sample.</w:t>
      </w:r>
      <w:bookmarkEnd w:id="10"/>
    </w:p>
    <w:p>
      <w:pPr>
        <w:pStyle w:val="3"/>
        <w:snapToGrid w:val="0"/>
        <w:spacing w:line="240" w:lineRule="auto"/>
        <w:rPr>
          <w:sz w:val="24"/>
          <w:szCs w:val="24"/>
          <w:highlight w:val="none"/>
        </w:rPr>
      </w:pPr>
      <w:r>
        <w:rPr>
          <w:rFonts w:hint="eastAsia"/>
          <w:sz w:val="24"/>
          <w:szCs w:val="24"/>
          <w:highlight w:val="none"/>
        </w:rPr>
        <w:t>Multi-path for carrier phase positioning</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In </w:t>
      </w:r>
      <w:r>
        <w:rPr>
          <w:rFonts w:hint="eastAsia" w:ascii="Times New Roman" w:hAnsi="Times New Roman" w:eastAsia="宋体"/>
          <w:sz w:val="20"/>
          <w:szCs w:val="20"/>
          <w:highlight w:val="none"/>
        </w:rPr>
        <w:t>3GPP TSG RAN WG1#112</w:t>
      </w:r>
      <w:r>
        <w:rPr>
          <w:rFonts w:hint="eastAsia" w:ascii="Times New Roman" w:hAnsi="Times New Roman" w:eastAsia="宋体"/>
          <w:sz w:val="20"/>
          <w:szCs w:val="20"/>
          <w:highlight w:val="none"/>
          <w:lang w:val="en-US" w:eastAsia="zh-CN"/>
        </w:rPr>
        <w:t xml:space="preserve"> and WG1#113</w:t>
      </w:r>
      <w:r>
        <w:rPr>
          <w:rFonts w:hint="eastAsia" w:ascii="Times New Roman" w:hAnsi="Times New Roman"/>
          <w:sz w:val="20"/>
          <w:szCs w:val="20"/>
          <w:highlight w:val="none"/>
        </w:rPr>
        <w:t xml:space="preserve"> meeting, the following proposal was discussed but no consensus has reached: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Batang" w:cs="Times New Roman"/>
                <w:b/>
                <w:bCs/>
                <w:i/>
                <w:iCs/>
                <w:sz w:val="20"/>
                <w:szCs w:val="20"/>
                <w:highlight w:val="none"/>
                <w:u w:val="single"/>
                <w:lang w:val="en-US" w:eastAsia="zh-CN" w:bidi="ar-SA"/>
              </w:rPr>
            </w:pPr>
            <w:r>
              <w:rPr>
                <w:rFonts w:hint="eastAsia" w:ascii="Times New Roman" w:hAnsi="Times New Roman" w:eastAsia="Batang" w:cs="Times New Roman"/>
                <w:b/>
                <w:bCs/>
                <w:i/>
                <w:iCs/>
                <w:sz w:val="20"/>
                <w:szCs w:val="20"/>
                <w:highlight w:val="none"/>
                <w:u w:val="single"/>
                <w:lang w:val="en-US" w:eastAsia="zh-CN" w:bidi="ar-SA"/>
              </w:rPr>
              <w:t>Draft proposal in RAN1#113:</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Batang" w:cs="Times New Roman"/>
                <w:i/>
                <w:iCs/>
                <w:sz w:val="20"/>
                <w:szCs w:val="20"/>
                <w:highlight w:val="none"/>
                <w:lang w:val="en-CA" w:eastAsia="zh-CN" w:bidi="ar-SA"/>
              </w:rPr>
            </w:pPr>
            <w:r>
              <w:rPr>
                <w:rFonts w:ascii="Times New Roman" w:hAnsi="Times New Roman" w:eastAsia="Batang" w:cs="Times New Roman"/>
                <w:i/>
                <w:iCs/>
                <w:sz w:val="20"/>
                <w:szCs w:val="20"/>
                <w:highlight w:val="none"/>
                <w:lang w:val="en-CA" w:eastAsia="zh-CN" w:bidi="ar-SA"/>
              </w:rPr>
              <w:t>Further study on whether to support the reporting of the carrier phase of the additional paths in Rel-18.</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Batang" w:cs="Times New Roman"/>
                <w:i/>
                <w:iCs/>
                <w:sz w:val="20"/>
                <w:szCs w:val="20"/>
                <w:highlight w:val="none"/>
                <w:lang w:val="en-CA" w:eastAsia="zh-CN" w:bidi="ar-SA"/>
              </w:rPr>
            </w:pP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Batang" w:cs="Times New Roman"/>
                <w:b/>
                <w:bCs/>
                <w:i/>
                <w:iCs/>
                <w:sz w:val="20"/>
                <w:szCs w:val="20"/>
                <w:highlight w:val="none"/>
                <w:u w:val="single"/>
                <w:lang w:val="en-US" w:eastAsia="zh-CN" w:bidi="ar-SA"/>
              </w:rPr>
            </w:pPr>
            <w:r>
              <w:rPr>
                <w:rFonts w:hint="eastAsia" w:ascii="Times New Roman" w:hAnsi="Times New Roman" w:eastAsia="Batang" w:cs="Times New Roman"/>
                <w:b/>
                <w:bCs/>
                <w:i/>
                <w:iCs/>
                <w:sz w:val="20"/>
                <w:szCs w:val="20"/>
                <w:highlight w:val="none"/>
                <w:u w:val="single"/>
                <w:lang w:val="en-US" w:eastAsia="zh-CN" w:bidi="ar-SA"/>
              </w:rPr>
              <w:t>Draft proposal in RAN1#112: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eastAsia="Batang"/>
                <w:i/>
                <w:iCs/>
                <w:sz w:val="20"/>
                <w:szCs w:val="20"/>
                <w:highlight w:val="none"/>
                <w:lang w:val="en-CA"/>
              </w:rPr>
            </w:pPr>
            <w:r>
              <w:rPr>
                <w:rFonts w:ascii="Times New Roman" w:hAnsi="Times New Roman" w:eastAsia="Batang"/>
                <w:i/>
                <w:iCs/>
                <w:sz w:val="20"/>
                <w:szCs w:val="20"/>
                <w:highlight w:val="none"/>
                <w:lang w:val="en-CA"/>
              </w:rPr>
              <w:t xml:space="preserve">Select one of the following options for NR carrier phase positioning: </w:t>
            </w:r>
          </w:p>
          <w:p>
            <w:pPr>
              <w:pStyle w:val="96"/>
              <w:numPr>
                <w:ilvl w:val="0"/>
                <w:numId w:val="10"/>
              </w:numPr>
              <w:snapToGrid w:val="0"/>
              <w:spacing w:line="240" w:lineRule="auto"/>
              <w:jc w:val="both"/>
              <w:rPr>
                <w:rFonts w:eastAsia="Batang"/>
                <w:i/>
                <w:iCs/>
                <w:sz w:val="20"/>
                <w:highlight w:val="none"/>
                <w:lang w:val="en-CA"/>
              </w:rPr>
            </w:pPr>
            <w:r>
              <w:rPr>
                <w:rFonts w:eastAsia="Batang"/>
                <w:i/>
                <w:iCs/>
                <w:sz w:val="20"/>
                <w:highlight w:val="none"/>
                <w:lang w:val="en-CA"/>
              </w:rPr>
              <w:t xml:space="preserve">Option 1: </w:t>
            </w:r>
            <w:r>
              <w:rPr>
                <w:i/>
                <w:iCs/>
                <w:sz w:val="20"/>
                <w:highlight w:val="none"/>
              </w:rPr>
              <w:t>Report the carrier phase of the first path only</w:t>
            </w:r>
            <w:r>
              <w:rPr>
                <w:rFonts w:hint="eastAsia"/>
                <w:i/>
                <w:iCs/>
                <w:sz w:val="20"/>
                <w:highlight w:val="none"/>
                <w:lang w:eastAsia="zh-CN"/>
              </w:rPr>
              <w:t xml:space="preserve"> </w:t>
            </w:r>
          </w:p>
          <w:p>
            <w:pPr>
              <w:pStyle w:val="96"/>
              <w:keepNext w:val="0"/>
              <w:keepLines w:val="0"/>
              <w:pageBreakBefore w:val="0"/>
              <w:widowControl/>
              <w:numPr>
                <w:ilvl w:val="0"/>
                <w:numId w:val="10"/>
              </w:numPr>
              <w:kinsoku/>
              <w:wordWrap/>
              <w:overflowPunct w:val="0"/>
              <w:topLinePunct w:val="0"/>
              <w:autoSpaceDE w:val="0"/>
              <w:autoSpaceDN w:val="0"/>
              <w:bidi w:val="0"/>
              <w:adjustRightInd w:val="0"/>
              <w:snapToGrid w:val="0"/>
              <w:spacing w:after="0" w:line="240" w:lineRule="auto"/>
              <w:ind w:left="726" w:hanging="363"/>
              <w:jc w:val="both"/>
              <w:textAlignment w:val="baseline"/>
              <w:rPr>
                <w:highlight w:val="none"/>
              </w:rPr>
            </w:pPr>
            <w:r>
              <w:rPr>
                <w:rFonts w:eastAsia="Batang"/>
                <w:i/>
                <w:iCs/>
                <w:sz w:val="20"/>
                <w:highlight w:val="none"/>
                <w:lang w:val="en-CA"/>
              </w:rPr>
              <w:t xml:space="preserve">Option 2: </w:t>
            </w:r>
            <w:r>
              <w:rPr>
                <w:i/>
                <w:iCs/>
                <w:sz w:val="20"/>
                <w:highlight w:val="none"/>
              </w:rPr>
              <w:t>Report the carrier phase of the first path, and optionally, the additional paths</w:t>
            </w:r>
          </w:p>
        </w:tc>
      </w:tr>
    </w:tbl>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As shown in</w:t>
      </w:r>
      <w:r>
        <w:rPr>
          <w:rFonts w:hint="eastAsia" w:ascii="Times New Roman" w:hAnsi="Times New Roman"/>
          <w:sz w:val="20"/>
          <w:szCs w:val="20"/>
          <w:highlight w:val="none"/>
        </w:rPr>
        <w:t xml:space="preserve"> the following figure</w:t>
      </w:r>
      <w:r>
        <w:rPr>
          <w:rFonts w:ascii="Times New Roman" w:hAnsi="Times New Roman"/>
          <w:sz w:val="20"/>
          <w:szCs w:val="20"/>
          <w:highlight w:val="none"/>
        </w:rPr>
        <w:t xml:space="preserve">, the measured carrier phase on </w:t>
      </w:r>
      <w:r>
        <w:rPr>
          <w:rFonts w:hint="eastAsia" w:ascii="Times New Roman" w:hAnsi="Times New Roman"/>
          <w:sz w:val="20"/>
          <w:szCs w:val="20"/>
          <w:highlight w:val="none"/>
        </w:rPr>
        <w:t xml:space="preserve">the </w:t>
      </w:r>
      <w:r>
        <w:rPr>
          <w:rFonts w:ascii="Times New Roman" w:hAnsi="Times New Roman"/>
          <w:sz w:val="20"/>
          <w:szCs w:val="20"/>
          <w:highlight w:val="none"/>
        </w:rPr>
        <w:t>receiver side is related to the transmission path of the SRS/PRS</w:t>
      </w:r>
      <w:r>
        <w:rPr>
          <w:rFonts w:hint="eastAsia" w:ascii="Times New Roman" w:hAnsi="Times New Roman"/>
          <w:sz w:val="20"/>
          <w:szCs w:val="20"/>
          <w:highlight w:val="none"/>
        </w:rPr>
        <w:t>.</w:t>
      </w:r>
      <w:r>
        <w:rPr>
          <w:rFonts w:ascii="Times New Roman" w:hAnsi="Times New Roman"/>
          <w:sz w:val="20"/>
          <w:szCs w:val="20"/>
          <w:highlight w:val="none"/>
        </w:rPr>
        <w:t xml:space="preserve"> </w:t>
      </w:r>
      <w:r>
        <w:rPr>
          <w:rFonts w:hint="eastAsia" w:ascii="Times New Roman" w:hAnsi="Times New Roman"/>
          <w:sz w:val="20"/>
          <w:szCs w:val="20"/>
          <w:highlight w:val="none"/>
        </w:rPr>
        <w:t>C</w:t>
      </w:r>
      <w:r>
        <w:rPr>
          <w:rFonts w:ascii="Times New Roman" w:hAnsi="Times New Roman"/>
          <w:sz w:val="20"/>
          <w:szCs w:val="20"/>
          <w:highlight w:val="none"/>
        </w:rPr>
        <w:t xml:space="preserve">ompared to </w:t>
      </w:r>
      <w:r>
        <w:rPr>
          <w:rFonts w:hint="eastAsia" w:ascii="Times New Roman" w:hAnsi="Times New Roman"/>
          <w:sz w:val="20"/>
          <w:szCs w:val="20"/>
          <w:highlight w:val="none"/>
        </w:rPr>
        <w:t xml:space="preserve">the </w:t>
      </w:r>
      <w:r>
        <w:rPr>
          <w:rFonts w:ascii="Times New Roman" w:hAnsi="Times New Roman"/>
          <w:sz w:val="20"/>
          <w:szCs w:val="20"/>
          <w:highlight w:val="none"/>
        </w:rPr>
        <w:t xml:space="preserve">NLOS path, </w:t>
      </w:r>
      <w:r>
        <w:rPr>
          <w:rFonts w:hint="eastAsia" w:ascii="Times New Roman" w:hAnsi="Times New Roman"/>
          <w:sz w:val="20"/>
          <w:szCs w:val="20"/>
          <w:highlight w:val="none"/>
        </w:rPr>
        <w:t xml:space="preserve">the </w:t>
      </w:r>
      <w:r>
        <w:rPr>
          <w:rFonts w:ascii="Times New Roman" w:hAnsi="Times New Roman"/>
          <w:sz w:val="20"/>
          <w:szCs w:val="20"/>
          <w:highlight w:val="none"/>
        </w:rPr>
        <w:t xml:space="preserve">LOS path can reflect the distance relationship between the receiver and the transmitter more accurately. On the contrary, if </w:t>
      </w:r>
      <w:r>
        <w:rPr>
          <w:rFonts w:hint="eastAsia" w:ascii="Times New Roman" w:hAnsi="Times New Roman"/>
          <w:sz w:val="20"/>
          <w:szCs w:val="20"/>
          <w:highlight w:val="none"/>
        </w:rPr>
        <w:t>UE/TRP</w:t>
      </w:r>
      <w:r>
        <w:rPr>
          <w:rFonts w:ascii="Times New Roman" w:hAnsi="Times New Roman"/>
          <w:sz w:val="20"/>
          <w:szCs w:val="20"/>
          <w:highlight w:val="none"/>
        </w:rPr>
        <w:t xml:space="preserve"> measures the carrier phase of the received signal that is transmitted with </w:t>
      </w:r>
      <w:r>
        <w:rPr>
          <w:rFonts w:hint="eastAsia" w:ascii="Times New Roman" w:hAnsi="Times New Roman"/>
          <w:sz w:val="20"/>
          <w:szCs w:val="20"/>
          <w:highlight w:val="none"/>
        </w:rPr>
        <w:t xml:space="preserve">the </w:t>
      </w:r>
      <w:r>
        <w:rPr>
          <w:rFonts w:ascii="Times New Roman" w:hAnsi="Times New Roman"/>
          <w:sz w:val="20"/>
          <w:szCs w:val="20"/>
          <w:highlight w:val="none"/>
        </w:rPr>
        <w:t>NLOS path, the position of the target UE cannot be estimated with the measured carrier phase.</w:t>
      </w:r>
    </w:p>
    <w:p>
      <w:pPr>
        <w:adjustRightInd w:val="0"/>
        <w:snapToGrid w:val="0"/>
        <w:spacing w:before="180" w:beforeLines="50" w:after="180" w:afterLines="50" w:line="240" w:lineRule="auto"/>
        <w:jc w:val="center"/>
        <w:rPr>
          <w:rStyle w:val="35"/>
          <w:rFonts w:ascii="Times New Roman" w:hAnsi="Times New Roman"/>
          <w:sz w:val="20"/>
          <w:szCs w:val="20"/>
          <w:highlight w:val="none"/>
        </w:rPr>
      </w:pPr>
      <w:r>
        <w:rPr>
          <w:rFonts w:ascii="Times New Roman" w:hAnsi="Times New Roman"/>
          <w:sz w:val="20"/>
          <w:szCs w:val="20"/>
          <w:highlight w:val="none"/>
        </w:rPr>
        <w:drawing>
          <wp:inline distT="0" distB="0" distL="114300" distR="114300">
            <wp:extent cx="2301875" cy="1078230"/>
            <wp:effectExtent l="0" t="0" r="3175" b="762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8"/>
                    <a:stretch>
                      <a:fillRect/>
                    </a:stretch>
                  </pic:blipFill>
                  <pic:spPr>
                    <a:xfrm>
                      <a:off x="0" y="0"/>
                      <a:ext cx="2301875" cy="1078230"/>
                    </a:xfrm>
                    <a:prstGeom prst="rect">
                      <a:avLst/>
                    </a:prstGeom>
                    <a:noFill/>
                    <a:ln>
                      <a:noFill/>
                    </a:ln>
                  </pic:spPr>
                </pic:pic>
              </a:graphicData>
            </a:graphic>
          </wp:inline>
        </w:drawing>
      </w:r>
    </w:p>
    <w:p>
      <w:pPr>
        <w:pStyle w:val="13"/>
        <w:jc w:val="center"/>
        <w:rPr>
          <w:highlight w:val="none"/>
        </w:rPr>
      </w:pPr>
      <w:bookmarkStart w:id="11" w:name="_Ref18176"/>
      <w:r>
        <w:rPr>
          <w:b w:val="0"/>
          <w:bCs w:val="0"/>
          <w:highlight w:val="none"/>
        </w:rPr>
        <w:t xml:space="preserve">Figure </w:t>
      </w:r>
      <w:r>
        <w:rPr>
          <w:b w:val="0"/>
          <w:bCs w:val="0"/>
          <w:highlight w:val="none"/>
        </w:rPr>
        <w:fldChar w:fldCharType="begin"/>
      </w:r>
      <w:r>
        <w:rPr>
          <w:b w:val="0"/>
          <w:bCs w:val="0"/>
          <w:highlight w:val="none"/>
        </w:rPr>
        <w:instrText xml:space="preserve"> SEQ Figure \* ARABIC </w:instrText>
      </w:r>
      <w:r>
        <w:rPr>
          <w:b w:val="0"/>
          <w:bCs w:val="0"/>
          <w:highlight w:val="none"/>
        </w:rPr>
        <w:fldChar w:fldCharType="separate"/>
      </w:r>
      <w:r>
        <w:rPr>
          <w:b w:val="0"/>
          <w:bCs w:val="0"/>
          <w:highlight w:val="none"/>
        </w:rPr>
        <w:t>2</w:t>
      </w:r>
      <w:r>
        <w:rPr>
          <w:b w:val="0"/>
          <w:bCs w:val="0"/>
          <w:highlight w:val="none"/>
        </w:rPr>
        <w:fldChar w:fldCharType="end"/>
      </w:r>
      <w:bookmarkEnd w:id="11"/>
      <w:r>
        <w:rPr>
          <w:b w:val="0"/>
          <w:bCs w:val="0"/>
          <w:highlight w:val="none"/>
          <w:lang w:val="en-US" w:eastAsia="zh-CN"/>
        </w:rPr>
        <w:t xml:space="preserve">. </w:t>
      </w:r>
      <w:r>
        <w:rPr>
          <w:rFonts w:hint="eastAsia"/>
          <w:b w:val="0"/>
          <w:bCs w:val="0"/>
          <w:highlight w:val="none"/>
          <w:lang w:val="en-US" w:eastAsia="zh-CN"/>
        </w:rPr>
        <w:t>A s</w:t>
      </w:r>
      <w:r>
        <w:rPr>
          <w:b w:val="0"/>
          <w:bCs w:val="0"/>
          <w:highlight w:val="none"/>
          <w:lang w:val="en-US" w:eastAsia="zh-CN"/>
        </w:rPr>
        <w:t xml:space="preserve">imple example for LOS/NOS propagation path </w:t>
      </w:r>
    </w:p>
    <w:p>
      <w:pPr>
        <w:widowControl w:val="0"/>
        <w:adjustRightInd w:val="0"/>
        <w:snapToGrid w:val="0"/>
        <w:spacing w:before="180" w:beforeLines="50" w:after="180" w:afterLines="50" w:line="240" w:lineRule="auto"/>
        <w:jc w:val="both"/>
        <w:rPr>
          <w:rFonts w:hint="eastAsia" w:ascii="Times New Roman" w:hAnsi="Times New Roman"/>
          <w:sz w:val="20"/>
          <w:szCs w:val="20"/>
          <w:highlight w:val="none"/>
        </w:rPr>
      </w:pPr>
      <w:r>
        <w:rPr>
          <w:rFonts w:hint="eastAsia" w:ascii="Times New Roman" w:hAnsi="Times New Roman"/>
          <w:sz w:val="20"/>
          <w:szCs w:val="20"/>
          <w:highlight w:val="none"/>
          <w:lang w:val="en-US" w:eastAsia="zh-CN"/>
        </w:rPr>
        <w:t>In addition, d</w:t>
      </w:r>
      <w:r>
        <w:rPr>
          <w:rFonts w:hint="eastAsia" w:ascii="Times New Roman" w:hAnsi="Times New Roman"/>
          <w:sz w:val="20"/>
          <w:szCs w:val="20"/>
          <w:highlight w:val="none"/>
        </w:rPr>
        <w:t>uring the SI stage, there is no explicit evaluation or simulation result that testifies the carrier phase of the additional paths is beneficial for the positioning performance</w:t>
      </w:r>
      <w:r>
        <w:rPr>
          <w:rFonts w:hint="eastAsia" w:ascii="Times New Roman" w:hAnsi="Times New Roman"/>
          <w:sz w:val="20"/>
          <w:szCs w:val="20"/>
          <w:highlight w:val="none"/>
          <w:lang w:val="en-US" w:eastAsia="zh-CN"/>
        </w:rPr>
        <w:t>.</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Furthermore, reporting the carrier phase of the additional path will definitely increase the UE</w:t>
      </w:r>
      <w:r>
        <w:rPr>
          <w:rFonts w:ascii="Times New Roman" w:hAnsi="Times New Roman"/>
          <w:sz w:val="20"/>
          <w:szCs w:val="20"/>
          <w:highlight w:val="none"/>
        </w:rPr>
        <w:t>’</w:t>
      </w:r>
      <w:r>
        <w:rPr>
          <w:rFonts w:hint="eastAsia" w:ascii="Times New Roman" w:hAnsi="Times New Roman"/>
          <w:sz w:val="20"/>
          <w:szCs w:val="20"/>
          <w:highlight w:val="none"/>
        </w:rPr>
        <w:t>s measurement and report load</w:t>
      </w:r>
      <w:r>
        <w:rPr>
          <w:rFonts w:hint="eastAsia" w:ascii="Times New Roman" w:hAnsi="Times New Roman"/>
          <w:sz w:val="20"/>
          <w:szCs w:val="20"/>
          <w:highlight w:val="none"/>
          <w:lang w:val="en-US" w:eastAsia="zh-CN"/>
        </w:rPr>
        <w:t>. E</w:t>
      </w:r>
      <w:r>
        <w:rPr>
          <w:rFonts w:hint="eastAsia" w:ascii="Times New Roman" w:hAnsi="Times New Roman"/>
          <w:sz w:val="20"/>
          <w:szCs w:val="20"/>
          <w:highlight w:val="none"/>
        </w:rPr>
        <w:t xml:space="preserve">ven if we get the phase of the additional path, the benefits of this report are </w:t>
      </w:r>
      <w:r>
        <w:rPr>
          <w:rFonts w:hint="eastAsia" w:ascii="Times New Roman" w:hAnsi="Times New Roman"/>
          <w:sz w:val="20"/>
          <w:szCs w:val="20"/>
          <w:highlight w:val="none"/>
          <w:lang w:val="en-US" w:eastAsia="zh-CN"/>
        </w:rPr>
        <w:t xml:space="preserve">unclear </w:t>
      </w:r>
      <w:r>
        <w:rPr>
          <w:rFonts w:hint="eastAsia" w:ascii="Times New Roman" w:hAnsi="Times New Roman"/>
          <w:sz w:val="20"/>
          <w:szCs w:val="20"/>
          <w:highlight w:val="none"/>
        </w:rPr>
        <w:t>for carrier phase positioning. Hence, we have the following proposal:</w:t>
      </w:r>
    </w:p>
    <w:p>
      <w:pPr>
        <w:pStyle w:val="13"/>
        <w:snapToGrid w:val="0"/>
        <w:spacing w:before="180" w:beforeLines="50" w:after="180" w:afterLines="50"/>
        <w:jc w:val="both"/>
        <w:rPr>
          <w:i/>
          <w:iCs/>
          <w:highlight w:val="none"/>
          <w:lang w:val="en-US" w:eastAsia="zh-CN"/>
        </w:rPr>
      </w:pPr>
      <w:bookmarkStart w:id="12" w:name="_Ref18301"/>
      <w:r>
        <w:rPr>
          <w:i/>
          <w:highlight w:val="none"/>
        </w:rPr>
        <w:t xml:space="preserve">Proposal </w:t>
      </w:r>
      <w:r>
        <w:rPr>
          <w:i/>
          <w:highlight w:val="none"/>
        </w:rPr>
        <w:fldChar w:fldCharType="begin"/>
      </w:r>
      <w:r>
        <w:rPr>
          <w:i/>
          <w:highlight w:val="none"/>
        </w:rPr>
        <w:instrText xml:space="preserve"> SEQ Proposal \* ARABIC </w:instrText>
      </w:r>
      <w:r>
        <w:rPr>
          <w:i/>
          <w:highlight w:val="none"/>
        </w:rPr>
        <w:fldChar w:fldCharType="separate"/>
      </w:r>
      <w:r>
        <w:rPr>
          <w:i/>
          <w:highlight w:val="none"/>
        </w:rPr>
        <w:t>5</w:t>
      </w:r>
      <w:r>
        <w:rPr>
          <w:i/>
          <w:highlight w:val="none"/>
        </w:rPr>
        <w:fldChar w:fldCharType="end"/>
      </w:r>
      <w:r>
        <w:rPr>
          <w:rFonts w:hint="eastAsia"/>
          <w:i/>
          <w:highlight w:val="none"/>
        </w:rPr>
        <w:t>:</w:t>
      </w:r>
      <w:r>
        <w:rPr>
          <w:i/>
          <w:highlight w:val="none"/>
        </w:rPr>
        <w:t xml:space="preserve"> </w:t>
      </w:r>
      <w:r>
        <w:rPr>
          <w:rFonts w:hint="eastAsia"/>
          <w:i/>
          <w:iCs/>
          <w:highlight w:val="none"/>
          <w:lang w:val="en-US" w:eastAsia="zh-CN"/>
        </w:rPr>
        <w:t>Support UE/TRP reporting the carrier phase of the first path only.</w:t>
      </w:r>
      <w:bookmarkEnd w:id="12"/>
    </w:p>
    <w:p>
      <w:pPr>
        <w:pStyle w:val="3"/>
        <w:snapToGrid w:val="0"/>
        <w:spacing w:line="240" w:lineRule="auto"/>
        <w:rPr>
          <w:sz w:val="24"/>
          <w:szCs w:val="24"/>
          <w:highlight w:val="none"/>
        </w:rPr>
      </w:pPr>
      <w:r>
        <w:rPr>
          <w:rFonts w:hint="eastAsia"/>
          <w:sz w:val="24"/>
          <w:szCs w:val="24"/>
          <w:highlight w:val="none"/>
          <w:lang w:val="en-US"/>
        </w:rPr>
        <w:t>Enhancement on PRU assisted carrier phase positioning</w:t>
      </w:r>
    </w:p>
    <w:p>
      <w:pPr>
        <w:adjustRightInd w:val="0"/>
        <w:snapToGrid w:val="0"/>
        <w:spacing w:before="180" w:beforeLines="50" w:after="180" w:afterLines="50" w:line="240" w:lineRule="auto"/>
        <w:jc w:val="both"/>
        <w:rPr>
          <w:rFonts w:ascii="Times New Roman" w:hAnsi="Times New Roman" w:eastAsia="宋体"/>
          <w:color w:val="auto"/>
          <w:sz w:val="20"/>
          <w:szCs w:val="20"/>
          <w:highlight w:val="none"/>
        </w:rPr>
      </w:pPr>
      <w:r>
        <w:rPr>
          <w:rFonts w:hint="eastAsia" w:ascii="Times New Roman" w:hAnsi="Times New Roman" w:eastAsia="宋体"/>
          <w:color w:val="auto"/>
          <w:sz w:val="20"/>
          <w:szCs w:val="20"/>
          <w:highlight w:val="none"/>
        </w:rPr>
        <w:t xml:space="preserve">For the timestamp of </w:t>
      </w:r>
      <w:r>
        <w:rPr>
          <w:rFonts w:ascii="Times New Roman" w:hAnsi="Times New Roman"/>
          <w:bCs/>
          <w:iCs/>
          <w:color w:val="auto"/>
          <w:sz w:val="20"/>
          <w:szCs w:val="20"/>
          <w:highlight w:val="none"/>
          <w:lang w:eastAsia="ja-JP"/>
        </w:rPr>
        <w:t>RSCP/RSCPD measurement</w:t>
      </w:r>
      <w:r>
        <w:rPr>
          <w:rFonts w:hint="eastAsia" w:ascii="Times New Roman" w:hAnsi="Times New Roman" w:eastAsia="宋体"/>
          <w:color w:val="auto"/>
          <w:sz w:val="20"/>
          <w:szCs w:val="20"/>
          <w:highlight w:val="none"/>
        </w:rPr>
        <w:t xml:space="preserve">, </w:t>
      </w:r>
      <w:r>
        <w:rPr>
          <w:rFonts w:ascii="Times New Roman" w:hAnsi="Times New Roman" w:eastAsia="宋体"/>
          <w:color w:val="auto"/>
          <w:sz w:val="20"/>
          <w:szCs w:val="20"/>
          <w:highlight w:val="none"/>
        </w:rPr>
        <w:t xml:space="preserve">the following </w:t>
      </w:r>
      <w:r>
        <w:rPr>
          <w:rFonts w:hint="eastAsia" w:ascii="Times New Roman" w:hAnsi="Times New Roman" w:eastAsia="宋体"/>
          <w:color w:val="auto"/>
          <w:sz w:val="20"/>
          <w:szCs w:val="20"/>
          <w:highlight w:val="none"/>
        </w:rPr>
        <w:t>agreement was achieved in 3GPP RAN1#11</w:t>
      </w:r>
      <w:r>
        <w:rPr>
          <w:rFonts w:hint="eastAsia" w:ascii="Times New Roman" w:hAnsi="Times New Roman" w:eastAsia="宋体"/>
          <w:color w:val="auto"/>
          <w:sz w:val="20"/>
          <w:szCs w:val="20"/>
          <w:highlight w:val="none"/>
          <w:lang w:val="en-US" w:eastAsia="zh-CN"/>
        </w:rPr>
        <w:t>3</w:t>
      </w:r>
      <w:r>
        <w:rPr>
          <w:rFonts w:hint="eastAsia" w:ascii="Times New Roman" w:hAnsi="Times New Roman" w:eastAsia="宋体"/>
          <w:color w:val="auto"/>
          <w:sz w:val="20"/>
          <w:szCs w:val="20"/>
          <w:highlight w:val="none"/>
        </w:rPr>
        <w:t xml:space="preserve"> [1]: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bCs/>
                <w:color w:val="auto"/>
                <w:sz w:val="20"/>
                <w:szCs w:val="20"/>
                <w:highlight w:val="none"/>
              </w:rPr>
            </w:pPr>
            <w:r>
              <w:rPr>
                <w:rFonts w:ascii="Times New Roman" w:hAnsi="Times New Roman"/>
                <w:b/>
                <w:color w:val="auto"/>
                <w:sz w:val="20"/>
                <w:szCs w:val="20"/>
                <w:highlight w:val="none"/>
                <w:u w:val="single"/>
              </w:rPr>
              <w:t>Agreement</w:t>
            </w:r>
          </w:p>
          <w:p>
            <w:pPr>
              <w:keepNext w:val="0"/>
              <w:keepLines w:val="0"/>
              <w:pageBreakBefore w:val="0"/>
              <w:widowControl/>
              <w:kinsoku/>
              <w:wordWrap/>
              <w:overflowPunct/>
              <w:topLinePunct w:val="0"/>
              <w:autoSpaceDE/>
              <w:autoSpaceDN/>
              <w:bidi w:val="0"/>
              <w:adjustRightInd w:val="0"/>
              <w:snapToGrid w:val="0"/>
              <w:spacing w:line="240" w:lineRule="auto"/>
              <w:contextualSpacing/>
              <w:textAlignment w:val="auto"/>
              <w:rPr>
                <w:rFonts w:ascii="Times New Roman" w:hAnsi="Times New Roman"/>
                <w:iCs/>
                <w:color w:val="auto"/>
                <w:sz w:val="20"/>
                <w:szCs w:val="20"/>
                <w:highlight w:val="none"/>
                <w:lang w:val="en-CA"/>
              </w:rPr>
            </w:pPr>
            <w:r>
              <w:rPr>
                <w:rFonts w:ascii="Times New Roman" w:hAnsi="Times New Roman"/>
                <w:iCs/>
                <w:color w:val="auto"/>
                <w:sz w:val="20"/>
                <w:szCs w:val="20"/>
                <w:highlight w:val="none"/>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1219" w:hanging="420"/>
              <w:textAlignment w:val="auto"/>
              <w:rPr>
                <w:rFonts w:ascii="Times New Roman" w:hAnsi="Times New Roman" w:eastAsia="Calibri"/>
                <w:iCs/>
                <w:color w:val="auto"/>
                <w:sz w:val="20"/>
                <w:szCs w:val="20"/>
                <w:highlight w:val="none"/>
              </w:rPr>
            </w:pPr>
            <w:r>
              <w:rPr>
                <w:rFonts w:ascii="Times New Roman" w:hAnsi="Times New Roman" w:eastAsia="Calibri"/>
                <w:iCs/>
                <w:color w:val="auto"/>
                <w:sz w:val="20"/>
                <w:szCs w:val="20"/>
                <w:highlight w:val="none"/>
              </w:rPr>
              <w:t>Note: Whether the forwarded DL carrier phase measurement is DL RSCP and/or DL RSCPD depends at least on which of them is (are) supported by UE capability.</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240" w:lineRule="auto"/>
              <w:ind w:left="1219" w:hanging="420"/>
              <w:textAlignment w:val="auto"/>
              <w:rPr>
                <w:rFonts w:ascii="Times New Roman" w:hAnsi="Times New Roman" w:eastAsia="Calibri"/>
                <w:iCs/>
                <w:color w:val="auto"/>
                <w:sz w:val="20"/>
                <w:szCs w:val="20"/>
                <w:highlight w:val="none"/>
              </w:rPr>
            </w:pPr>
            <w:r>
              <w:rPr>
                <w:rFonts w:ascii="Times New Roman" w:hAnsi="Times New Roman" w:eastAsia="Calibri"/>
                <w:iCs/>
                <w:color w:val="auto"/>
                <w:sz w:val="20"/>
                <w:szCs w:val="20"/>
                <w:highlight w:val="none"/>
              </w:rPr>
              <w:t xml:space="preserve">additional information of the same PRU includes at least PRU location. </w:t>
            </w:r>
          </w:p>
          <w:p>
            <w:pPr>
              <w:keepNext w:val="0"/>
              <w:keepLines w:val="0"/>
              <w:pageBreakBefore w:val="0"/>
              <w:widowControl/>
              <w:numPr>
                <w:ilvl w:val="1"/>
                <w:numId w:val="3"/>
              </w:numPr>
              <w:kinsoku/>
              <w:wordWrap/>
              <w:overflowPunct/>
              <w:topLinePunct w:val="0"/>
              <w:autoSpaceDE/>
              <w:autoSpaceDN/>
              <w:bidi w:val="0"/>
              <w:adjustRightInd w:val="0"/>
              <w:snapToGrid w:val="0"/>
              <w:spacing w:after="0" w:line="240" w:lineRule="auto"/>
              <w:ind w:left="1638" w:hanging="420"/>
              <w:textAlignment w:val="auto"/>
              <w:rPr>
                <w:color w:val="auto"/>
                <w:highlight w:val="none"/>
              </w:rPr>
            </w:pPr>
            <w:r>
              <w:rPr>
                <w:rFonts w:ascii="Times New Roman" w:hAnsi="Times New Roman" w:eastAsia="Calibri"/>
                <w:iCs/>
                <w:color w:val="auto"/>
                <w:sz w:val="20"/>
                <w:szCs w:val="20"/>
                <w:highlight w:val="none"/>
              </w:rPr>
              <w:t>FFS: additional PRU information, e.g. the AoD of PRU to each TRP, etc.</w:t>
            </w:r>
          </w:p>
        </w:tc>
      </w:tr>
    </w:tbl>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Our previous simulation</w:t>
      </w:r>
      <w:r>
        <w:rPr>
          <w:rFonts w:hint="eastAsia" w:ascii="Times New Roman" w:hAnsi="Times New Roman"/>
          <w:sz w:val="20"/>
          <w:szCs w:val="20"/>
          <w:highlight w:val="none"/>
        </w:rPr>
        <w:t>s</w:t>
      </w:r>
      <w:r>
        <w:rPr>
          <w:rFonts w:ascii="Times New Roman" w:hAnsi="Times New Roman"/>
          <w:sz w:val="20"/>
          <w:szCs w:val="20"/>
          <w:highlight w:val="none"/>
        </w:rPr>
        <w:t xml:space="preserve"> show that there are multiple error sources, includ</w:t>
      </w:r>
      <w:r>
        <w:rPr>
          <w:rFonts w:hint="eastAsia" w:ascii="Times New Roman" w:hAnsi="Times New Roman"/>
          <w:sz w:val="20"/>
          <w:szCs w:val="20"/>
          <w:highlight w:val="none"/>
        </w:rPr>
        <w:t>ing</w:t>
      </w:r>
      <w:r>
        <w:rPr>
          <w:rFonts w:ascii="Times New Roman" w:hAnsi="Times New Roman"/>
          <w:sz w:val="20"/>
          <w:szCs w:val="20"/>
          <w:highlight w:val="none"/>
        </w:rPr>
        <w:t xml:space="preserve"> ARP error, initial phase error, etc., </w:t>
      </w:r>
      <w:r>
        <w:rPr>
          <w:rFonts w:hint="eastAsia" w:ascii="Times New Roman" w:hAnsi="Times New Roman"/>
          <w:sz w:val="20"/>
          <w:szCs w:val="20"/>
          <w:highlight w:val="none"/>
        </w:rPr>
        <w:t xml:space="preserve">which </w:t>
      </w:r>
      <w:r>
        <w:rPr>
          <w:rFonts w:ascii="Times New Roman" w:hAnsi="Times New Roman"/>
          <w:sz w:val="20"/>
          <w:szCs w:val="20"/>
          <w:highlight w:val="none"/>
        </w:rPr>
        <w:t xml:space="preserve">may deteriorate the carrier phase positioning performance. To reduce the side effects of these errors on positioning performance, PRUs </w:t>
      </w:r>
      <w:r>
        <w:rPr>
          <w:rFonts w:hint="eastAsia" w:ascii="Times New Roman" w:hAnsi="Times New Roman"/>
          <w:sz w:val="20"/>
          <w:szCs w:val="20"/>
          <w:highlight w:val="none"/>
          <w:lang w:val="en-US" w:eastAsia="zh-CN"/>
        </w:rPr>
        <w:t>are introduced to c</w:t>
      </w:r>
      <w:r>
        <w:rPr>
          <w:rFonts w:ascii="Times New Roman" w:hAnsi="Times New Roman"/>
          <w:sz w:val="20"/>
          <w:szCs w:val="20"/>
          <w:highlight w:val="none"/>
        </w:rPr>
        <w:t>alibrate the carrier phase</w:t>
      </w:r>
      <w:r>
        <w:rPr>
          <w:rFonts w:hint="eastAsia" w:ascii="Times New Roman" w:hAnsi="Times New Roman"/>
          <w:sz w:val="20"/>
          <w:szCs w:val="20"/>
          <w:highlight w:val="none"/>
        </w:rPr>
        <w:t>-</w:t>
      </w:r>
      <w:r>
        <w:rPr>
          <w:rFonts w:ascii="Times New Roman" w:hAnsi="Times New Roman"/>
          <w:sz w:val="20"/>
          <w:szCs w:val="20"/>
          <w:highlight w:val="none"/>
        </w:rPr>
        <w:t xml:space="preserve">related errors. For a TRP, if the ARP or phase error corresponding to the same beam set remains unchanged, the explicit ARP error or carrier phase error can be evaluated with the help of one or more PRUs. A possible error calibration flow is shown in </w:t>
      </w:r>
      <w:r>
        <w:rPr>
          <w:rFonts w:hint="eastAsia" w:ascii="Times New Roman" w:hAnsi="Times New Roman"/>
          <w:sz w:val="20"/>
          <w:szCs w:val="20"/>
          <w:highlight w:val="none"/>
        </w:rPr>
        <w:t>the following figure</w:t>
      </w:r>
      <w:r>
        <w:rPr>
          <w:rFonts w:ascii="Times New Roman" w:hAnsi="Times New Roman"/>
          <w:sz w:val="20"/>
          <w:szCs w:val="20"/>
          <w:highlight w:val="none"/>
        </w:rPr>
        <w:t>.</w:t>
      </w:r>
    </w:p>
    <w:p>
      <w:pPr>
        <w:adjustRightInd w:val="0"/>
        <w:snapToGrid w:val="0"/>
        <w:spacing w:before="180" w:beforeLines="50" w:after="180" w:afterLines="50" w:line="240" w:lineRule="auto"/>
        <w:jc w:val="center"/>
        <w:rPr>
          <w:rFonts w:ascii="Times New Roman" w:hAnsi="Times New Roman"/>
          <w:sz w:val="20"/>
          <w:szCs w:val="20"/>
          <w:highlight w:val="none"/>
        </w:rPr>
      </w:pPr>
      <w:r>
        <w:rPr>
          <w:rFonts w:ascii="Times New Roman" w:hAnsi="Times New Roman"/>
          <w:sz w:val="20"/>
          <w:szCs w:val="20"/>
          <w:highlight w:val="none"/>
        </w:rPr>
        <w:drawing>
          <wp:inline distT="0" distB="0" distL="114300" distR="114300">
            <wp:extent cx="3833495" cy="2269490"/>
            <wp:effectExtent l="0" t="0" r="14605" b="1651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srcRect r="24373"/>
                    <a:stretch>
                      <a:fillRect/>
                    </a:stretch>
                  </pic:blipFill>
                  <pic:spPr>
                    <a:xfrm>
                      <a:off x="0" y="0"/>
                      <a:ext cx="3833495" cy="2269490"/>
                    </a:xfrm>
                    <a:prstGeom prst="rect">
                      <a:avLst/>
                    </a:prstGeom>
                    <a:noFill/>
                    <a:ln>
                      <a:noFill/>
                    </a:ln>
                  </pic:spPr>
                </pic:pic>
              </a:graphicData>
            </a:graphic>
          </wp:inline>
        </w:drawing>
      </w:r>
    </w:p>
    <w:p>
      <w:pPr>
        <w:pStyle w:val="13"/>
        <w:adjustRightInd w:val="0"/>
        <w:snapToGrid w:val="0"/>
        <w:spacing w:before="180" w:beforeLines="50" w:after="180" w:afterLines="50"/>
        <w:jc w:val="center"/>
        <w:rPr>
          <w:b w:val="0"/>
          <w:bCs w:val="0"/>
          <w:highlight w:val="none"/>
          <w:lang w:val="en-US" w:eastAsia="zh-CN"/>
        </w:rPr>
      </w:pPr>
      <w:bookmarkStart w:id="13" w:name="_Ref7687"/>
      <w:r>
        <w:rPr>
          <w:b w:val="0"/>
          <w:bCs w:val="0"/>
          <w:highlight w:val="none"/>
        </w:rPr>
        <w:t xml:space="preserve">Figure </w:t>
      </w:r>
      <w:r>
        <w:rPr>
          <w:b w:val="0"/>
          <w:bCs w:val="0"/>
          <w:highlight w:val="none"/>
        </w:rPr>
        <w:fldChar w:fldCharType="begin"/>
      </w:r>
      <w:r>
        <w:rPr>
          <w:b w:val="0"/>
          <w:bCs w:val="0"/>
          <w:highlight w:val="none"/>
        </w:rPr>
        <w:instrText xml:space="preserve"> SEQ Figure \* ARABIC </w:instrText>
      </w:r>
      <w:r>
        <w:rPr>
          <w:b w:val="0"/>
          <w:bCs w:val="0"/>
          <w:highlight w:val="none"/>
        </w:rPr>
        <w:fldChar w:fldCharType="separate"/>
      </w:r>
      <w:r>
        <w:rPr>
          <w:b w:val="0"/>
          <w:bCs w:val="0"/>
          <w:highlight w:val="none"/>
        </w:rPr>
        <w:t>3</w:t>
      </w:r>
      <w:r>
        <w:rPr>
          <w:b w:val="0"/>
          <w:bCs w:val="0"/>
          <w:highlight w:val="none"/>
        </w:rPr>
        <w:fldChar w:fldCharType="end"/>
      </w:r>
      <w:bookmarkEnd w:id="13"/>
      <w:r>
        <w:rPr>
          <w:b w:val="0"/>
          <w:bCs w:val="0"/>
          <w:highlight w:val="none"/>
          <w:lang w:val="en-US" w:eastAsia="zh-CN"/>
        </w:rPr>
        <w:t>. ARP or carrier phase error calibration diagram</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The ARP or carrier phase error calibration process is as follows (take ARP error as an example):</w:t>
      </w:r>
    </w:p>
    <w:p>
      <w:pPr>
        <w:widowControl w:val="0"/>
        <w:adjustRightInd w:val="0"/>
        <w:snapToGrid w:val="0"/>
        <w:spacing w:before="180" w:beforeLines="50" w:after="180" w:afterLines="50" w:line="240" w:lineRule="auto"/>
        <w:jc w:val="both"/>
        <w:rPr>
          <w:rFonts w:ascii="Times New Roman" w:hAnsi="Times New Roman"/>
          <w:b/>
          <w:bCs/>
          <w:sz w:val="20"/>
          <w:szCs w:val="20"/>
          <w:highlight w:val="none"/>
        </w:rPr>
      </w:pPr>
      <w:r>
        <w:rPr>
          <w:rFonts w:ascii="Times New Roman" w:hAnsi="Times New Roman"/>
          <w:b/>
          <w:bCs/>
          <w:sz w:val="20"/>
          <w:szCs w:val="20"/>
          <w:highlight w:val="none"/>
        </w:rPr>
        <w:t>STEP 1: PRU/PRS selection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highlight w:val="none"/>
        </w:rPr>
      </w:pPr>
      <w:r>
        <w:rPr>
          <w:rFonts w:hint="eastAsia" w:ascii="Times New Roman" w:hAnsi="Times New Roman"/>
          <w:sz w:val="20"/>
          <w:szCs w:val="20"/>
          <w:highlight w:val="none"/>
        </w:rPr>
        <w:t>LMF should select several PRU(s) to help UE calibrate ARP error, and t</w:t>
      </w:r>
      <w:r>
        <w:rPr>
          <w:rFonts w:ascii="Times New Roman" w:hAnsi="Times New Roman"/>
          <w:sz w:val="20"/>
          <w:szCs w:val="20"/>
          <w:highlight w:val="none"/>
        </w:rPr>
        <w:t>he criterion for PRU selection</w:t>
      </w:r>
      <w:r>
        <w:rPr>
          <w:rFonts w:hint="eastAsia" w:ascii="Times New Roman" w:hAnsi="Times New Roman"/>
          <w:sz w:val="20"/>
          <w:szCs w:val="20"/>
          <w:highlight w:val="none"/>
        </w:rPr>
        <w:t xml:space="preserve"> may</w:t>
      </w:r>
      <w:r>
        <w:rPr>
          <w:rFonts w:ascii="Times New Roman" w:hAnsi="Times New Roman"/>
          <w:sz w:val="20"/>
          <w:szCs w:val="20"/>
          <w:highlight w:val="none"/>
        </w:rPr>
        <w:t xml:space="preserve"> include</w:t>
      </w:r>
      <w:r>
        <w:rPr>
          <w:rFonts w:hint="eastAsia" w:ascii="Times New Roman" w:hAnsi="Times New Roman"/>
          <w:sz w:val="20"/>
          <w:szCs w:val="20"/>
          <w:highlight w:val="none"/>
        </w:rPr>
        <w:t xml:space="preserve"> the following requirements</w:t>
      </w:r>
      <w:r>
        <w:rPr>
          <w:rFonts w:ascii="Times New Roman" w:hAnsi="Times New Roman"/>
          <w:sz w:val="20"/>
          <w:szCs w:val="20"/>
          <w:highlight w:val="none"/>
        </w:rPr>
        <w:t xml:space="preserve">: </w:t>
      </w:r>
    </w:p>
    <w:p>
      <w:pPr>
        <w:widowControl w:val="0"/>
        <w:numPr>
          <w:ilvl w:val="0"/>
          <w:numId w:val="11"/>
        </w:numPr>
        <w:adjustRightInd w:val="0"/>
        <w:snapToGrid w:val="0"/>
        <w:spacing w:before="180" w:beforeLines="50" w:after="180" w:afterLines="50" w:line="240" w:lineRule="auto"/>
        <w:ind w:firstLine="200" w:firstLineChars="100"/>
        <w:jc w:val="both"/>
        <w:rPr>
          <w:rFonts w:ascii="Times New Roman" w:hAnsi="Times New Roman"/>
          <w:sz w:val="20"/>
          <w:szCs w:val="20"/>
          <w:highlight w:val="none"/>
        </w:rPr>
      </w:pPr>
      <w:r>
        <w:rPr>
          <w:rFonts w:ascii="Times New Roman" w:hAnsi="Times New Roman"/>
          <w:sz w:val="20"/>
          <w:szCs w:val="20"/>
          <w:highlight w:val="none"/>
        </w:rPr>
        <w:t>The selected PRU should be able to receive the same PRS</w:t>
      </w:r>
      <w:r>
        <w:rPr>
          <w:rFonts w:hint="eastAsia" w:ascii="Times New Roman" w:hAnsi="Times New Roman"/>
          <w:sz w:val="20"/>
          <w:szCs w:val="20"/>
          <w:highlight w:val="none"/>
          <w:lang w:val="en-US" w:eastAsia="zh-CN"/>
        </w:rPr>
        <w:t xml:space="preserve"> resource (beam)</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as </w:t>
      </w:r>
      <w:r>
        <w:rPr>
          <w:rFonts w:ascii="Times New Roman" w:hAnsi="Times New Roman"/>
          <w:sz w:val="20"/>
          <w:szCs w:val="20"/>
          <w:highlight w:val="none"/>
        </w:rPr>
        <w:t>that of the target UE</w:t>
      </w:r>
      <w:r>
        <w:rPr>
          <w:rFonts w:hint="eastAsia" w:ascii="Times New Roman" w:hAnsi="Times New Roman"/>
          <w:sz w:val="20"/>
          <w:szCs w:val="20"/>
          <w:highlight w:val="none"/>
        </w:rPr>
        <w:t>.</w:t>
      </w:r>
      <w:r>
        <w:rPr>
          <w:rFonts w:ascii="Times New Roman" w:hAnsi="Times New Roman"/>
          <w:sz w:val="20"/>
          <w:szCs w:val="20"/>
          <w:highlight w:val="none"/>
        </w:rPr>
        <w:t xml:space="preserve"> </w:t>
      </w:r>
    </w:p>
    <w:p>
      <w:pPr>
        <w:widowControl w:val="0"/>
        <w:numPr>
          <w:ilvl w:val="0"/>
          <w:numId w:val="11"/>
        </w:numPr>
        <w:adjustRightInd w:val="0"/>
        <w:snapToGrid w:val="0"/>
        <w:spacing w:before="180" w:beforeLines="50" w:after="180" w:afterLines="50" w:line="240" w:lineRule="auto"/>
        <w:ind w:firstLine="200" w:firstLineChars="100"/>
        <w:jc w:val="both"/>
        <w:rPr>
          <w:rFonts w:ascii="Times New Roman" w:hAnsi="Times New Roman"/>
          <w:sz w:val="20"/>
          <w:szCs w:val="20"/>
          <w:highlight w:val="none"/>
        </w:rPr>
      </w:pPr>
      <w:r>
        <w:rPr>
          <w:rFonts w:ascii="Times New Roman" w:hAnsi="Times New Roman"/>
          <w:sz w:val="20"/>
          <w:szCs w:val="20"/>
          <w:highlight w:val="none"/>
        </w:rPr>
        <w:t>The selected PRU should be in the LOS direction with the corresponding TRPs.</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 xml:space="preserve">As shown in </w:t>
      </w:r>
      <w:r>
        <w:rPr>
          <w:rFonts w:ascii="Times New Roman" w:hAnsi="Times New Roman"/>
          <w:sz w:val="20"/>
          <w:szCs w:val="20"/>
          <w:highlight w:val="none"/>
        </w:rPr>
        <w:fldChar w:fldCharType="begin"/>
      </w:r>
      <w:r>
        <w:rPr>
          <w:rFonts w:ascii="Times New Roman" w:hAnsi="Times New Roman"/>
          <w:sz w:val="20"/>
          <w:szCs w:val="20"/>
          <w:highlight w:val="none"/>
        </w:rPr>
        <w:instrText xml:space="preserve"> REF _Ref9378 \h </w:instrText>
      </w:r>
      <w:r>
        <w:rPr>
          <w:rFonts w:ascii="Times New Roman" w:hAnsi="Times New Roman"/>
          <w:sz w:val="20"/>
          <w:szCs w:val="20"/>
          <w:highlight w:val="none"/>
        </w:rPr>
        <w:fldChar w:fldCharType="separate"/>
      </w:r>
      <w:r>
        <w:rPr>
          <w:rFonts w:ascii="Times New Roman" w:hAnsi="Times New Roman"/>
          <w:sz w:val="20"/>
          <w:szCs w:val="20"/>
          <w:highlight w:val="none"/>
        </w:rPr>
        <w:t>Figure 4</w:t>
      </w:r>
      <w:r>
        <w:rPr>
          <w:rFonts w:ascii="Times New Roman" w:hAnsi="Times New Roman"/>
          <w:sz w:val="20"/>
          <w:szCs w:val="20"/>
          <w:highlight w:val="none"/>
        </w:rPr>
        <w:fldChar w:fldCharType="end"/>
      </w:r>
      <w:r>
        <w:rPr>
          <w:rFonts w:ascii="Times New Roman" w:hAnsi="Times New Roman"/>
          <w:sz w:val="20"/>
          <w:szCs w:val="20"/>
          <w:highlight w:val="none"/>
        </w:rPr>
        <w:t>, there are several PRUs located around a UE, and a TRP is transmitting multiple PRS during the positioning process. In this case, PRU 3 and PRU 4 are selected as reference PRUs to calibrate the error sources for the target UE</w:t>
      </w:r>
      <w:r>
        <w:rPr>
          <w:rFonts w:hint="eastAsia" w:ascii="Times New Roman" w:hAnsi="Times New Roman"/>
          <w:sz w:val="20"/>
          <w:szCs w:val="20"/>
          <w:highlight w:val="none"/>
          <w:lang w:val="en-US" w:eastAsia="zh-CN"/>
        </w:rPr>
        <w:t xml:space="preserve"> as</w:t>
      </w:r>
      <w:r>
        <w:rPr>
          <w:rFonts w:ascii="Times New Roman" w:hAnsi="Times New Roman"/>
          <w:sz w:val="20"/>
          <w:szCs w:val="20"/>
          <w:highlight w:val="none"/>
        </w:rPr>
        <w:t xml:space="preserve"> PRU 3, PRU 4 and target UE share the same ARP error in this deployment setting.</w:t>
      </w:r>
    </w:p>
    <w:p>
      <w:pPr>
        <w:widowControl w:val="0"/>
        <w:adjustRightInd w:val="0"/>
        <w:snapToGrid w:val="0"/>
        <w:spacing w:before="180" w:beforeLines="50" w:after="180" w:afterLines="50" w:line="240" w:lineRule="auto"/>
        <w:jc w:val="center"/>
        <w:rPr>
          <w:rFonts w:ascii="Times New Roman" w:hAnsi="Times New Roman"/>
          <w:sz w:val="20"/>
          <w:szCs w:val="20"/>
          <w:highlight w:val="none"/>
        </w:rPr>
      </w:pPr>
      <w:r>
        <w:rPr>
          <w:rFonts w:ascii="Times New Roman" w:hAnsi="Times New Roman"/>
          <w:sz w:val="20"/>
          <w:szCs w:val="20"/>
          <w:highlight w:val="none"/>
        </w:rPr>
        <w:drawing>
          <wp:inline distT="0" distB="0" distL="114300" distR="114300">
            <wp:extent cx="3507740" cy="1406525"/>
            <wp:effectExtent l="0" t="0" r="16510" b="317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0"/>
                    <a:stretch>
                      <a:fillRect/>
                    </a:stretch>
                  </pic:blipFill>
                  <pic:spPr>
                    <a:xfrm>
                      <a:off x="0" y="0"/>
                      <a:ext cx="3507740" cy="1406525"/>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highlight w:val="none"/>
        </w:rPr>
      </w:pPr>
      <w:bookmarkStart w:id="14" w:name="_Ref9378"/>
      <w:r>
        <w:rPr>
          <w:rFonts w:ascii="Times New Roman" w:hAnsi="Times New Roman"/>
          <w:sz w:val="20"/>
          <w:szCs w:val="20"/>
          <w:highlight w:val="none"/>
        </w:rPr>
        <w:t xml:space="preserve">Figure </w:t>
      </w:r>
      <w:r>
        <w:rPr>
          <w:rFonts w:ascii="Times New Roman" w:hAnsi="Times New Roman"/>
          <w:sz w:val="20"/>
          <w:szCs w:val="20"/>
          <w:highlight w:val="none"/>
        </w:rPr>
        <w:fldChar w:fldCharType="begin"/>
      </w:r>
      <w:r>
        <w:rPr>
          <w:rFonts w:ascii="Times New Roman" w:hAnsi="Times New Roman"/>
          <w:sz w:val="20"/>
          <w:szCs w:val="20"/>
          <w:highlight w:val="none"/>
        </w:rPr>
        <w:instrText xml:space="preserve"> SEQ Figure \* ARABIC </w:instrText>
      </w:r>
      <w:r>
        <w:rPr>
          <w:rFonts w:ascii="Times New Roman" w:hAnsi="Times New Roman"/>
          <w:sz w:val="20"/>
          <w:szCs w:val="20"/>
          <w:highlight w:val="none"/>
        </w:rPr>
        <w:fldChar w:fldCharType="separate"/>
      </w:r>
      <w:r>
        <w:rPr>
          <w:rFonts w:ascii="Times New Roman" w:hAnsi="Times New Roman"/>
          <w:sz w:val="20"/>
          <w:szCs w:val="20"/>
          <w:highlight w:val="none"/>
        </w:rPr>
        <w:t>4</w:t>
      </w:r>
      <w:r>
        <w:rPr>
          <w:rFonts w:ascii="Times New Roman" w:hAnsi="Times New Roman"/>
          <w:sz w:val="20"/>
          <w:szCs w:val="20"/>
          <w:highlight w:val="none"/>
        </w:rPr>
        <w:fldChar w:fldCharType="end"/>
      </w:r>
      <w:bookmarkEnd w:id="14"/>
      <w:r>
        <w:rPr>
          <w:rFonts w:ascii="Times New Roman" w:hAnsi="Times New Roman"/>
          <w:sz w:val="20"/>
          <w:szCs w:val="20"/>
          <w:highlight w:val="none"/>
        </w:rPr>
        <w:t>. PRU selection example</w:t>
      </w:r>
    </w:p>
    <w:p>
      <w:pPr>
        <w:widowControl w:val="0"/>
        <w:adjustRightInd w:val="0"/>
        <w:snapToGrid w:val="0"/>
        <w:spacing w:before="180" w:beforeLines="50" w:after="180" w:afterLines="50" w:line="240" w:lineRule="auto"/>
        <w:jc w:val="both"/>
        <w:rPr>
          <w:rFonts w:ascii="Times New Roman" w:hAnsi="Times New Roman"/>
          <w:b/>
          <w:bCs/>
          <w:sz w:val="20"/>
          <w:szCs w:val="20"/>
          <w:highlight w:val="none"/>
        </w:rPr>
      </w:pPr>
      <w:r>
        <w:rPr>
          <w:rFonts w:ascii="Times New Roman" w:hAnsi="Times New Roman"/>
          <w:b/>
          <w:bCs/>
          <w:sz w:val="20"/>
          <w:szCs w:val="20"/>
          <w:highlight w:val="none"/>
        </w:rPr>
        <w:t>STEP 2: Measurement report</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highlight w:val="none"/>
        </w:rPr>
      </w:pPr>
      <w:r>
        <w:rPr>
          <w:rFonts w:ascii="Times New Roman" w:hAnsi="Times New Roman"/>
          <w:sz w:val="20"/>
          <w:szCs w:val="20"/>
          <w:highlight w:val="none"/>
        </w:rPr>
        <w:t xml:space="preserve">PRU(s) measure and report the carrier phase of the received PRS. </w:t>
      </w:r>
    </w:p>
    <w:p>
      <w:pPr>
        <w:widowControl w:val="0"/>
        <w:adjustRightInd w:val="0"/>
        <w:snapToGrid w:val="0"/>
        <w:spacing w:before="180" w:beforeLines="50" w:after="180" w:afterLines="50" w:line="240" w:lineRule="auto"/>
        <w:jc w:val="both"/>
        <w:rPr>
          <w:rFonts w:ascii="Times New Roman" w:hAnsi="Times New Roman"/>
          <w:b/>
          <w:bCs/>
          <w:sz w:val="20"/>
          <w:szCs w:val="20"/>
          <w:highlight w:val="none"/>
        </w:rPr>
      </w:pPr>
      <w:r>
        <w:rPr>
          <w:rFonts w:ascii="Times New Roman" w:hAnsi="Times New Roman"/>
          <w:b/>
          <w:bCs/>
          <w:sz w:val="20"/>
          <w:szCs w:val="20"/>
          <w:highlight w:val="none"/>
        </w:rPr>
        <w:t>STEP 3: Error calculation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highlight w:val="none"/>
        </w:rPr>
      </w:pPr>
      <w:r>
        <w:rPr>
          <w:rFonts w:ascii="Times New Roman" w:hAnsi="Times New Roman"/>
          <w:sz w:val="20"/>
          <w:szCs w:val="20"/>
          <w:highlight w:val="none"/>
        </w:rPr>
        <w:t>After receiving the carrier phase reported by PRU, LMF can calculate the expected error source as follows:</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Assume that the antenna location of TRP is (</w:t>
      </w:r>
      <w:r>
        <w:rPr>
          <w:rFonts w:ascii="Times New Roman" w:hAnsi="Times New Roman"/>
          <w:i/>
          <w:iCs/>
          <w:sz w:val="20"/>
          <w:szCs w:val="20"/>
          <w:highlight w:val="none"/>
        </w:rPr>
        <w:t>x,y</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the </w:t>
      </w:r>
      <w:r>
        <w:rPr>
          <w:rFonts w:ascii="Times New Roman" w:hAnsi="Times New Roman"/>
          <w:sz w:val="20"/>
          <w:szCs w:val="20"/>
          <w:highlight w:val="none"/>
        </w:rPr>
        <w:t>ARP error is (</w:t>
      </w:r>
      <w:r>
        <w:rPr>
          <w:rFonts w:ascii="Times New Roman" w:hAnsi="Times New Roman"/>
          <w:i/>
          <w:iCs/>
          <w:sz w:val="20"/>
          <w:szCs w:val="20"/>
          <w:highlight w:val="none"/>
        </w:rPr>
        <w:t>e</w:t>
      </w:r>
      <w:r>
        <w:rPr>
          <w:rFonts w:ascii="Times New Roman" w:hAnsi="Times New Roman"/>
          <w:i/>
          <w:iCs/>
          <w:sz w:val="20"/>
          <w:szCs w:val="20"/>
          <w:highlight w:val="none"/>
          <w:vertAlign w:val="subscript"/>
        </w:rPr>
        <w:t>x</w:t>
      </w:r>
      <w:r>
        <w:rPr>
          <w:rFonts w:ascii="Times New Roman" w:hAnsi="Times New Roman"/>
          <w:i/>
          <w:iCs/>
          <w:sz w:val="20"/>
          <w:szCs w:val="20"/>
          <w:highlight w:val="none"/>
        </w:rPr>
        <w:t>,e</w:t>
      </w:r>
      <w:r>
        <w:rPr>
          <w:rFonts w:ascii="Times New Roman" w:hAnsi="Times New Roman"/>
          <w:i/>
          <w:iCs/>
          <w:sz w:val="20"/>
          <w:szCs w:val="20"/>
          <w:highlight w:val="none"/>
          <w:vertAlign w:val="subscript"/>
        </w:rPr>
        <w:t>y</w:t>
      </w:r>
      <w:r>
        <w:rPr>
          <w:rFonts w:ascii="Times New Roman" w:hAnsi="Times New Roman"/>
          <w:sz w:val="20"/>
          <w:szCs w:val="20"/>
          <w:highlight w:val="none"/>
        </w:rPr>
        <w:t>),</w:t>
      </w:r>
      <w:r>
        <w:rPr>
          <w:rFonts w:hint="eastAsia" w:ascii="Times New Roman" w:hAnsi="Times New Roman"/>
          <w:sz w:val="20"/>
          <w:szCs w:val="20"/>
          <w:highlight w:val="none"/>
        </w:rPr>
        <w:t xml:space="preserve"> and</w:t>
      </w:r>
      <w:r>
        <w:rPr>
          <w:rFonts w:ascii="Times New Roman" w:hAnsi="Times New Roman"/>
          <w:sz w:val="20"/>
          <w:szCs w:val="20"/>
          <w:highlight w:val="none"/>
        </w:rPr>
        <w:t xml:space="preserve"> the actual ARP location is (</w:t>
      </w:r>
      <w:r>
        <w:rPr>
          <w:rFonts w:ascii="Times New Roman" w:hAnsi="Times New Roman"/>
          <w:i/>
          <w:iCs/>
          <w:sz w:val="20"/>
          <w:szCs w:val="20"/>
          <w:highlight w:val="none"/>
        </w:rPr>
        <w:t>X,Y</w:t>
      </w:r>
      <w:r>
        <w:rPr>
          <w:rFonts w:ascii="Times New Roman" w:hAnsi="Times New Roman"/>
          <w:sz w:val="20"/>
          <w:szCs w:val="20"/>
          <w:highlight w:val="none"/>
        </w:rPr>
        <w:t>)= (</w:t>
      </w:r>
      <w:r>
        <w:rPr>
          <w:rFonts w:ascii="Times New Roman" w:hAnsi="Times New Roman"/>
          <w:i/>
          <w:iCs/>
          <w:sz w:val="20"/>
          <w:szCs w:val="20"/>
          <w:highlight w:val="none"/>
        </w:rPr>
        <w:t>x+e</w:t>
      </w:r>
      <w:r>
        <w:rPr>
          <w:rFonts w:ascii="Times New Roman" w:hAnsi="Times New Roman"/>
          <w:i/>
          <w:iCs/>
          <w:sz w:val="20"/>
          <w:szCs w:val="20"/>
          <w:highlight w:val="none"/>
          <w:vertAlign w:val="subscript"/>
        </w:rPr>
        <w:t>x</w:t>
      </w:r>
      <w:r>
        <w:rPr>
          <w:rFonts w:ascii="Times New Roman" w:hAnsi="Times New Roman"/>
          <w:i/>
          <w:iCs/>
          <w:sz w:val="20"/>
          <w:szCs w:val="20"/>
          <w:highlight w:val="none"/>
        </w:rPr>
        <w:t>, y+e</w:t>
      </w:r>
      <w:r>
        <w:rPr>
          <w:rFonts w:ascii="Times New Roman" w:hAnsi="Times New Roman"/>
          <w:i/>
          <w:iCs/>
          <w:sz w:val="20"/>
          <w:szCs w:val="20"/>
          <w:highlight w:val="none"/>
          <w:vertAlign w:val="subscript"/>
        </w:rPr>
        <w:t>y</w:t>
      </w:r>
      <w:r>
        <w:rPr>
          <w:rFonts w:ascii="Times New Roman" w:hAnsi="Times New Roman"/>
          <w:sz w:val="20"/>
          <w:szCs w:val="20"/>
          <w:highlight w:val="none"/>
        </w:rPr>
        <w:t>). The following calculation describe</w:t>
      </w:r>
      <w:r>
        <w:rPr>
          <w:rFonts w:hint="eastAsia" w:ascii="Times New Roman" w:hAnsi="Times New Roman"/>
          <w:sz w:val="20"/>
          <w:szCs w:val="20"/>
          <w:highlight w:val="none"/>
        </w:rPr>
        <w:t>s</w:t>
      </w:r>
      <w:r>
        <w:rPr>
          <w:rFonts w:ascii="Times New Roman" w:hAnsi="Times New Roman"/>
          <w:sz w:val="20"/>
          <w:szCs w:val="20"/>
          <w:highlight w:val="none"/>
        </w:rPr>
        <w:t xml:space="preserve"> the error estimation detail.</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Suppose the coordinates of PRU 3 and PRU 4 are (</w:t>
      </w:r>
      <w:r>
        <w:rPr>
          <w:rFonts w:ascii="Times New Roman" w:hAnsi="Times New Roman"/>
          <w:i/>
          <w:iCs/>
          <w:sz w:val="20"/>
          <w:szCs w:val="20"/>
          <w:highlight w:val="none"/>
        </w:rPr>
        <w:t>x</w:t>
      </w:r>
      <w:r>
        <w:rPr>
          <w:rFonts w:ascii="Times New Roman" w:hAnsi="Times New Roman"/>
          <w:i/>
          <w:iCs/>
          <w:sz w:val="20"/>
          <w:szCs w:val="20"/>
          <w:highlight w:val="none"/>
          <w:vertAlign w:val="subscript"/>
        </w:rPr>
        <w:t>3</w:t>
      </w:r>
      <w:r>
        <w:rPr>
          <w:rFonts w:ascii="Times New Roman" w:hAnsi="Times New Roman"/>
          <w:i/>
          <w:iCs/>
          <w:sz w:val="20"/>
          <w:szCs w:val="20"/>
          <w:highlight w:val="none"/>
        </w:rPr>
        <w:t>,y</w:t>
      </w:r>
      <w:r>
        <w:rPr>
          <w:rFonts w:ascii="Times New Roman" w:hAnsi="Times New Roman"/>
          <w:i/>
          <w:iCs/>
          <w:sz w:val="20"/>
          <w:szCs w:val="20"/>
          <w:highlight w:val="none"/>
          <w:vertAlign w:val="subscript"/>
        </w:rPr>
        <w:t>3</w:t>
      </w:r>
      <w:r>
        <w:rPr>
          <w:rFonts w:ascii="Times New Roman" w:hAnsi="Times New Roman"/>
          <w:sz w:val="20"/>
          <w:szCs w:val="20"/>
          <w:highlight w:val="none"/>
        </w:rPr>
        <w:t>), (</w:t>
      </w:r>
      <w:r>
        <w:rPr>
          <w:rFonts w:ascii="Times New Roman" w:hAnsi="Times New Roman"/>
          <w:i/>
          <w:iCs/>
          <w:sz w:val="20"/>
          <w:szCs w:val="20"/>
          <w:highlight w:val="none"/>
        </w:rPr>
        <w:t>x</w:t>
      </w:r>
      <w:r>
        <w:rPr>
          <w:rFonts w:ascii="Times New Roman" w:hAnsi="Times New Roman"/>
          <w:i/>
          <w:iCs/>
          <w:sz w:val="20"/>
          <w:szCs w:val="20"/>
          <w:highlight w:val="none"/>
          <w:vertAlign w:val="subscript"/>
        </w:rPr>
        <w:t>4</w:t>
      </w:r>
      <w:r>
        <w:rPr>
          <w:rFonts w:ascii="Times New Roman" w:hAnsi="Times New Roman"/>
          <w:i/>
          <w:iCs/>
          <w:sz w:val="20"/>
          <w:szCs w:val="20"/>
          <w:highlight w:val="none"/>
        </w:rPr>
        <w:t>,y</w:t>
      </w:r>
      <w:r>
        <w:rPr>
          <w:rFonts w:ascii="Times New Roman" w:hAnsi="Times New Roman"/>
          <w:i/>
          <w:iCs/>
          <w:sz w:val="20"/>
          <w:szCs w:val="20"/>
          <w:highlight w:val="none"/>
          <w:vertAlign w:val="subscript"/>
        </w:rPr>
        <w:t>4</w:t>
      </w:r>
      <w:r>
        <w:rPr>
          <w:rFonts w:ascii="Times New Roman" w:hAnsi="Times New Roman"/>
          <w:sz w:val="20"/>
          <w:szCs w:val="20"/>
          <w:highlight w:val="none"/>
        </w:rPr>
        <w:t xml:space="preserve">) respectively. The PRS carrier phase measured by PRU 3 and PRU 4 are </w:t>
      </w:r>
      <m:oMath>
        <m:sSub>
          <m:sSubPr>
            <m:ctrlPr>
              <w:rPr>
                <w:rFonts w:ascii="Cambria Math" w:hAnsi="Cambria Math" w:eastAsia="宋体"/>
                <w:color w:val="000000"/>
                <w:sz w:val="20"/>
                <w:szCs w:val="20"/>
                <w:highlight w:val="none"/>
                <w:lang w:bidi="ar"/>
              </w:rPr>
            </m:ctrlPr>
          </m:sSubPr>
          <m:e>
            <m:r>
              <m:rPr>
                <m:sty m:val="p"/>
              </m:rPr>
              <w:rPr>
                <w:rFonts w:ascii="Cambria Math" w:hAnsi="Cambria Math"/>
                <w:color w:val="000000"/>
                <w:sz w:val="20"/>
                <w:szCs w:val="20"/>
                <w:highlight w:val="none"/>
                <w:lang w:bidi="ar"/>
              </w:rPr>
              <m:t>φ</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oMath>
      <w:r>
        <w:rPr>
          <w:rFonts w:ascii="Times New Roman" w:hAnsi="Times New Roman" w:eastAsia="宋体"/>
          <w:color w:val="000000"/>
          <w:sz w:val="20"/>
          <w:szCs w:val="20"/>
          <w:highlight w:val="none"/>
          <w:lang w:bidi="ar"/>
        </w:rPr>
        <w:t xml:space="preserve">, </w:t>
      </w:r>
      <m:oMath>
        <m:sSub>
          <m:sSubPr>
            <m:ctrlPr>
              <w:rPr>
                <w:rFonts w:ascii="Cambria Math" w:hAnsi="Cambria Math" w:eastAsia="宋体"/>
                <w:color w:val="000000"/>
                <w:sz w:val="20"/>
                <w:szCs w:val="20"/>
                <w:highlight w:val="none"/>
                <w:lang w:bidi="ar"/>
              </w:rPr>
            </m:ctrlPr>
          </m:sSubPr>
          <m:e>
            <m:r>
              <m:rPr>
                <m:sty m:val="p"/>
              </m:rPr>
              <w:rPr>
                <w:rFonts w:ascii="Cambria Math" w:hAnsi="Cambria Math"/>
                <w:color w:val="000000"/>
                <w:sz w:val="20"/>
                <w:szCs w:val="20"/>
                <w:highlight w:val="none"/>
                <w:lang w:bidi="ar"/>
              </w:rPr>
              <m:t>φ</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oMath>
      <w:r>
        <w:rPr>
          <w:rFonts w:ascii="Times New Roman" w:hAnsi="Times New Roman"/>
          <w:sz w:val="20"/>
          <w:szCs w:val="20"/>
          <w:highlight w:val="none"/>
        </w:rPr>
        <w:t xml:space="preserve"> respectively. The actual distance between TRP and PRU 3 is:</w:t>
      </w:r>
    </w:p>
    <w:p>
      <w:pPr>
        <w:adjustRightInd w:val="0"/>
        <w:snapToGrid w:val="0"/>
        <w:spacing w:before="180" w:beforeLines="50" w:after="180" w:afterLines="50" w:line="240" w:lineRule="auto"/>
        <w:jc w:val="both"/>
        <w:rPr>
          <w:rFonts w:ascii="Times New Roman" w:hAnsi="Times New Roman" w:eastAsia="宋体"/>
          <w:color w:val="000000"/>
          <w:sz w:val="20"/>
          <w:szCs w:val="20"/>
          <w:highlight w:val="none"/>
          <w:lang w:bidi="ar"/>
        </w:rPr>
      </w:pPr>
      <m:oMathPara>
        <m:oMath>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D</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rad>
            <m:radPr>
              <m:degHide m:val="1"/>
              <m:ctrlPr>
                <w:rPr>
                  <w:rFonts w:ascii="Cambria Math" w:hAnsi="Cambria Math" w:eastAsia="宋体"/>
                  <w:color w:val="000000"/>
                  <w:sz w:val="20"/>
                  <w:szCs w:val="20"/>
                  <w:highlight w:val="none"/>
                  <w:lang w:bidi="ar"/>
                </w:rPr>
              </m:ctrlPr>
            </m:radPr>
            <m:deg>
              <m:ctrlPr>
                <w:rPr>
                  <w:rFonts w:ascii="Cambria Math" w:hAnsi="Cambria Math" w:eastAsia="宋体"/>
                  <w:color w:val="000000"/>
                  <w:sz w:val="20"/>
                  <w:szCs w:val="20"/>
                  <w:highlight w:val="none"/>
                  <w:lang w:bidi="ar"/>
                </w:rPr>
              </m:ctrlPr>
            </m:deg>
            <m:e>
              <m:sSup>
                <m:sSupPr>
                  <m:ctrlPr>
                    <w:rPr>
                      <w:rFonts w:ascii="Cambria Math" w:hAnsi="Cambria Math" w:eastAsia="宋体"/>
                      <w:color w:val="000000"/>
                      <w:sz w:val="20"/>
                      <w:szCs w:val="20"/>
                      <w:highlight w:val="none"/>
                      <w:lang w:bidi="ar"/>
                    </w:rPr>
                  </m:ctrlPr>
                </m:sSupPr>
                <m:e>
                  <m:r>
                    <m:rPr>
                      <m:sty m:val="p"/>
                    </m:rPr>
                    <w:rPr>
                      <w:rFonts w:ascii="Cambria Math" w:hAnsi="Cambria Math" w:eastAsia="宋体"/>
                      <w:color w:val="000000"/>
                      <w:sz w:val="20"/>
                      <w:szCs w:val="20"/>
                      <w:highlight w:val="none"/>
                      <w:lang w:bidi="ar"/>
                    </w:rPr>
                    <m:t>(X−</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x</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ctrlPr>
                    <w:rPr>
                      <w:rFonts w:ascii="Cambria Math" w:hAnsi="Cambria Math" w:eastAsia="宋体"/>
                      <w:color w:val="000000"/>
                      <w:sz w:val="20"/>
                      <w:szCs w:val="20"/>
                      <w:highlight w:val="none"/>
                      <w:lang w:bidi="ar"/>
                    </w:rPr>
                  </m:ctrlPr>
                </m:e>
                <m:sup>
                  <m:r>
                    <m:rPr>
                      <m:sty m:val="p"/>
                    </m:rPr>
                    <w:rPr>
                      <w:rFonts w:ascii="Cambria Math" w:hAnsi="Cambria Math" w:eastAsia="宋体"/>
                      <w:color w:val="000000"/>
                      <w:sz w:val="20"/>
                      <w:szCs w:val="20"/>
                      <w:highlight w:val="none"/>
                      <w:lang w:bidi="ar"/>
                    </w:rPr>
                    <m:t>2</m:t>
                  </m:r>
                  <m:ctrlPr>
                    <w:rPr>
                      <w:rFonts w:ascii="Cambria Math" w:hAnsi="Cambria Math" w:eastAsia="宋体"/>
                      <w:color w:val="000000"/>
                      <w:sz w:val="20"/>
                      <w:szCs w:val="20"/>
                      <w:highlight w:val="none"/>
                      <w:lang w:bidi="ar"/>
                    </w:rPr>
                  </m:ctrlPr>
                </m:sup>
              </m:sSup>
              <m:r>
                <m:rPr>
                  <m:sty m:val="p"/>
                </m:rPr>
                <w:rPr>
                  <w:rFonts w:ascii="Cambria Math" w:hAnsi="Cambria Math" w:eastAsia="宋体"/>
                  <w:color w:val="000000"/>
                  <w:sz w:val="20"/>
                  <w:szCs w:val="20"/>
                  <w:highlight w:val="none"/>
                  <w:lang w:bidi="ar"/>
                </w:rPr>
                <m:t>+</m:t>
              </m:r>
              <m:sSup>
                <m:sSupPr>
                  <m:ctrlPr>
                    <w:rPr>
                      <w:rFonts w:ascii="Cambria Math" w:hAnsi="Cambria Math" w:eastAsia="宋体"/>
                      <w:color w:val="000000"/>
                      <w:sz w:val="20"/>
                      <w:szCs w:val="20"/>
                      <w:highlight w:val="none"/>
                      <w:lang w:bidi="ar"/>
                    </w:rPr>
                  </m:ctrlPr>
                </m:sSupPr>
                <m:e>
                  <m:r>
                    <m:rPr>
                      <m:sty m:val="p"/>
                    </m:rPr>
                    <w:rPr>
                      <w:rFonts w:ascii="Cambria Math" w:hAnsi="Cambria Math" w:eastAsia="宋体"/>
                      <w:color w:val="000000"/>
                      <w:sz w:val="20"/>
                      <w:szCs w:val="20"/>
                      <w:highlight w:val="none"/>
                      <w:lang w:bidi="ar"/>
                    </w:rPr>
                    <m:t>(Y−</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y</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ctrlPr>
                    <w:rPr>
                      <w:rFonts w:ascii="Cambria Math" w:hAnsi="Cambria Math" w:eastAsia="宋体"/>
                      <w:color w:val="000000"/>
                      <w:sz w:val="20"/>
                      <w:szCs w:val="20"/>
                      <w:highlight w:val="none"/>
                      <w:lang w:bidi="ar"/>
                    </w:rPr>
                  </m:ctrlPr>
                </m:e>
                <m:sup>
                  <m:r>
                    <m:rPr>
                      <m:sty m:val="p"/>
                    </m:rPr>
                    <w:rPr>
                      <w:rFonts w:ascii="Cambria Math" w:hAnsi="Cambria Math" w:eastAsia="宋体"/>
                      <w:color w:val="000000"/>
                      <w:sz w:val="20"/>
                      <w:szCs w:val="20"/>
                      <w:highlight w:val="none"/>
                      <w:lang w:bidi="ar"/>
                    </w:rPr>
                    <m:t>2</m:t>
                  </m:r>
                  <m:ctrlPr>
                    <w:rPr>
                      <w:rFonts w:ascii="Cambria Math" w:hAnsi="Cambria Math" w:eastAsia="宋体"/>
                      <w:color w:val="000000"/>
                      <w:sz w:val="20"/>
                      <w:szCs w:val="20"/>
                      <w:highlight w:val="none"/>
                      <w:lang w:bidi="ar"/>
                    </w:rPr>
                  </m:ctrlPr>
                </m:sup>
              </m:sSup>
              <m:ctrlPr>
                <w:rPr>
                  <w:rFonts w:ascii="Cambria Math" w:hAnsi="Cambria Math" w:eastAsia="宋体"/>
                  <w:color w:val="000000"/>
                  <w:sz w:val="20"/>
                  <w:szCs w:val="20"/>
                  <w:highlight w:val="none"/>
                  <w:lang w:bidi="ar"/>
                </w:rPr>
              </m:ctrlPr>
            </m:e>
          </m:rad>
          <m:r>
            <m:rPr>
              <m:sty m:val="p"/>
            </m:rPr>
            <w:rPr>
              <w:rFonts w:ascii="Cambria Math" w:hAnsi="Cambria Math" w:eastAsia="宋体"/>
              <w:color w:val="000000"/>
              <w:sz w:val="20"/>
              <w:szCs w:val="20"/>
              <w:highlight w:val="none"/>
              <w:lang w:bidi="ar"/>
            </w:rPr>
            <m:t>=</m:t>
          </m:r>
          <m:r>
            <m:rPr>
              <m:sty m:val="p"/>
            </m:rPr>
            <w:rPr>
              <w:rFonts w:ascii="Cambria Math" w:hAnsi="Cambria Math"/>
              <w:color w:val="000000"/>
              <w:sz w:val="20"/>
              <w:szCs w:val="20"/>
              <w:highlight w:val="none"/>
              <w:lang w:bidi="ar"/>
            </w:rPr>
            <m:t>λ</m:t>
          </m:r>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N</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color w:val="000000"/>
                  <w:sz w:val="20"/>
                  <w:szCs w:val="20"/>
                  <w:highlight w:val="none"/>
                  <w:lang w:bidi="ar"/>
                </w:rPr>
                <m:t>φ</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/2</m:t>
          </m:r>
          <m:r>
            <m:rPr>
              <m:sty m:val="p"/>
            </m:rPr>
            <w:rPr>
              <w:rFonts w:ascii="Cambria Math" w:hAnsi="Cambria Math"/>
              <w:color w:val="000000"/>
              <w:sz w:val="20"/>
              <w:szCs w:val="20"/>
              <w:highlight w:val="none"/>
              <w:lang w:bidi="ar"/>
            </w:rPr>
            <m:t>π</m:t>
          </m:r>
          <m:r>
            <m:rPr>
              <m:sty m:val="p"/>
            </m:rPr>
            <w:rPr>
              <w:rFonts w:ascii="Cambria Math" w:hAnsi="Cambria Math" w:eastAsia="宋体"/>
              <w:color w:val="000000"/>
              <w:sz w:val="20"/>
              <w:szCs w:val="20"/>
              <w:highlight w:val="none"/>
              <w:lang w:bidi="ar"/>
            </w:rPr>
            <m:t>)</m:t>
          </m:r>
        </m:oMath>
      </m:oMathPara>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The actual distance between TRP and PRU 4 is:</w:t>
      </w:r>
    </w:p>
    <w:p>
      <w:pPr>
        <w:adjustRightInd w:val="0"/>
        <w:snapToGrid w:val="0"/>
        <w:spacing w:before="180" w:beforeLines="50" w:after="180" w:afterLines="50" w:line="240" w:lineRule="auto"/>
        <w:jc w:val="both"/>
        <w:rPr>
          <w:rFonts w:ascii="Times New Roman" w:hAnsi="Times New Roman" w:eastAsia="宋体"/>
          <w:color w:val="000000"/>
          <w:sz w:val="20"/>
          <w:szCs w:val="20"/>
          <w:highlight w:val="none"/>
          <w:lang w:bidi="ar"/>
        </w:rPr>
      </w:pPr>
      <m:oMathPara>
        <m:oMath>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D</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rad>
            <m:radPr>
              <m:degHide m:val="1"/>
              <m:ctrlPr>
                <w:rPr>
                  <w:rFonts w:ascii="Cambria Math" w:hAnsi="Cambria Math" w:eastAsia="宋体"/>
                  <w:color w:val="000000"/>
                  <w:sz w:val="20"/>
                  <w:szCs w:val="20"/>
                  <w:highlight w:val="none"/>
                  <w:lang w:bidi="ar"/>
                </w:rPr>
              </m:ctrlPr>
            </m:radPr>
            <m:deg>
              <m:ctrlPr>
                <w:rPr>
                  <w:rFonts w:ascii="Cambria Math" w:hAnsi="Cambria Math" w:eastAsia="宋体"/>
                  <w:color w:val="000000"/>
                  <w:sz w:val="20"/>
                  <w:szCs w:val="20"/>
                  <w:highlight w:val="none"/>
                  <w:lang w:bidi="ar"/>
                </w:rPr>
              </m:ctrlPr>
            </m:deg>
            <m:e>
              <m:sSup>
                <m:sSupPr>
                  <m:ctrlPr>
                    <w:rPr>
                      <w:rFonts w:ascii="Cambria Math" w:hAnsi="Cambria Math" w:eastAsia="宋体"/>
                      <w:color w:val="000000"/>
                      <w:sz w:val="20"/>
                      <w:szCs w:val="20"/>
                      <w:highlight w:val="none"/>
                      <w:lang w:bidi="ar"/>
                    </w:rPr>
                  </m:ctrlPr>
                </m:sSupPr>
                <m:e>
                  <m:r>
                    <m:rPr>
                      <m:sty m:val="p"/>
                    </m:rPr>
                    <w:rPr>
                      <w:rFonts w:ascii="Cambria Math" w:hAnsi="Cambria Math" w:eastAsia="宋体"/>
                      <w:color w:val="000000"/>
                      <w:sz w:val="20"/>
                      <w:szCs w:val="20"/>
                      <w:highlight w:val="none"/>
                      <w:lang w:bidi="ar"/>
                    </w:rPr>
                    <m:t>(X−</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x</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ctrlPr>
                    <w:rPr>
                      <w:rFonts w:ascii="Cambria Math" w:hAnsi="Cambria Math" w:eastAsia="宋体"/>
                      <w:color w:val="000000"/>
                      <w:sz w:val="20"/>
                      <w:szCs w:val="20"/>
                      <w:highlight w:val="none"/>
                      <w:lang w:bidi="ar"/>
                    </w:rPr>
                  </m:ctrlPr>
                </m:e>
                <m:sup>
                  <m:r>
                    <m:rPr>
                      <m:sty m:val="p"/>
                    </m:rPr>
                    <w:rPr>
                      <w:rFonts w:ascii="Cambria Math" w:hAnsi="Cambria Math" w:eastAsia="宋体"/>
                      <w:color w:val="000000"/>
                      <w:sz w:val="20"/>
                      <w:szCs w:val="20"/>
                      <w:highlight w:val="none"/>
                      <w:lang w:bidi="ar"/>
                    </w:rPr>
                    <m:t>2</m:t>
                  </m:r>
                  <m:ctrlPr>
                    <w:rPr>
                      <w:rFonts w:ascii="Cambria Math" w:hAnsi="Cambria Math" w:eastAsia="宋体"/>
                      <w:color w:val="000000"/>
                      <w:sz w:val="20"/>
                      <w:szCs w:val="20"/>
                      <w:highlight w:val="none"/>
                      <w:lang w:bidi="ar"/>
                    </w:rPr>
                  </m:ctrlPr>
                </m:sup>
              </m:sSup>
              <m:r>
                <m:rPr>
                  <m:sty m:val="p"/>
                </m:rPr>
                <w:rPr>
                  <w:rFonts w:ascii="Cambria Math" w:hAnsi="Cambria Math" w:eastAsia="宋体"/>
                  <w:color w:val="000000"/>
                  <w:sz w:val="20"/>
                  <w:szCs w:val="20"/>
                  <w:highlight w:val="none"/>
                  <w:lang w:bidi="ar"/>
                </w:rPr>
                <m:t>+</m:t>
              </m:r>
              <m:sSup>
                <m:sSupPr>
                  <m:ctrlPr>
                    <w:rPr>
                      <w:rFonts w:ascii="Cambria Math" w:hAnsi="Cambria Math" w:eastAsia="宋体"/>
                      <w:color w:val="000000"/>
                      <w:sz w:val="20"/>
                      <w:szCs w:val="20"/>
                      <w:highlight w:val="none"/>
                      <w:lang w:bidi="ar"/>
                    </w:rPr>
                  </m:ctrlPr>
                </m:sSupPr>
                <m:e>
                  <m:r>
                    <m:rPr>
                      <m:sty m:val="p"/>
                    </m:rPr>
                    <w:rPr>
                      <w:rFonts w:ascii="Cambria Math" w:hAnsi="Cambria Math" w:eastAsia="宋体"/>
                      <w:color w:val="000000"/>
                      <w:sz w:val="20"/>
                      <w:szCs w:val="20"/>
                      <w:highlight w:val="none"/>
                      <w:lang w:bidi="ar"/>
                    </w:rPr>
                    <m:t>(Y−</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y</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ctrlPr>
                    <w:rPr>
                      <w:rFonts w:ascii="Cambria Math" w:hAnsi="Cambria Math" w:eastAsia="宋体"/>
                      <w:color w:val="000000"/>
                      <w:sz w:val="20"/>
                      <w:szCs w:val="20"/>
                      <w:highlight w:val="none"/>
                      <w:lang w:bidi="ar"/>
                    </w:rPr>
                  </m:ctrlPr>
                </m:e>
                <m:sup>
                  <m:r>
                    <m:rPr>
                      <m:sty m:val="p"/>
                    </m:rPr>
                    <w:rPr>
                      <w:rFonts w:ascii="Cambria Math" w:hAnsi="Cambria Math" w:eastAsia="宋体"/>
                      <w:color w:val="000000"/>
                      <w:sz w:val="20"/>
                      <w:szCs w:val="20"/>
                      <w:highlight w:val="none"/>
                      <w:lang w:bidi="ar"/>
                    </w:rPr>
                    <m:t>2</m:t>
                  </m:r>
                  <m:ctrlPr>
                    <w:rPr>
                      <w:rFonts w:ascii="Cambria Math" w:hAnsi="Cambria Math" w:eastAsia="宋体"/>
                      <w:color w:val="000000"/>
                      <w:sz w:val="20"/>
                      <w:szCs w:val="20"/>
                      <w:highlight w:val="none"/>
                      <w:lang w:bidi="ar"/>
                    </w:rPr>
                  </m:ctrlPr>
                </m:sup>
              </m:sSup>
              <m:ctrlPr>
                <w:rPr>
                  <w:rFonts w:ascii="Cambria Math" w:hAnsi="Cambria Math" w:eastAsia="宋体"/>
                  <w:color w:val="000000"/>
                  <w:sz w:val="20"/>
                  <w:szCs w:val="20"/>
                  <w:highlight w:val="none"/>
                  <w:lang w:bidi="ar"/>
                </w:rPr>
              </m:ctrlPr>
            </m:e>
          </m:rad>
          <m:r>
            <m:rPr>
              <m:sty m:val="p"/>
            </m:rPr>
            <w:rPr>
              <w:rFonts w:ascii="Cambria Math" w:hAnsi="Cambria Math" w:eastAsia="宋体"/>
              <w:color w:val="000000"/>
              <w:sz w:val="20"/>
              <w:szCs w:val="20"/>
              <w:highlight w:val="none"/>
              <w:lang w:bidi="ar"/>
            </w:rPr>
            <m:t>=</m:t>
          </m:r>
          <m:r>
            <m:rPr>
              <m:sty m:val="p"/>
            </m:rPr>
            <w:rPr>
              <w:rFonts w:ascii="Cambria Math" w:hAnsi="Cambria Math"/>
              <w:color w:val="000000"/>
              <w:sz w:val="20"/>
              <w:szCs w:val="20"/>
              <w:highlight w:val="none"/>
              <w:lang w:bidi="ar"/>
            </w:rPr>
            <m:t>λ</m:t>
          </m:r>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N</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color w:val="000000"/>
                  <w:sz w:val="20"/>
                  <w:szCs w:val="20"/>
                  <w:highlight w:val="none"/>
                  <w:lang w:bidi="ar"/>
                </w:rPr>
                <m:t>φ</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/2</m:t>
          </m:r>
          <m:r>
            <m:rPr>
              <m:sty m:val="p"/>
            </m:rPr>
            <w:rPr>
              <w:rFonts w:ascii="Cambria Math" w:hAnsi="Cambria Math"/>
              <w:color w:val="000000"/>
              <w:sz w:val="20"/>
              <w:szCs w:val="20"/>
              <w:highlight w:val="none"/>
              <w:lang w:bidi="ar"/>
            </w:rPr>
            <m:t>π</m:t>
          </m:r>
          <m:r>
            <m:rPr>
              <m:sty m:val="p"/>
            </m:rPr>
            <w:rPr>
              <w:rFonts w:ascii="Cambria Math" w:hAnsi="Cambria Math" w:eastAsia="宋体"/>
              <w:color w:val="000000"/>
              <w:sz w:val="20"/>
              <w:szCs w:val="20"/>
              <w:highlight w:val="none"/>
              <w:lang w:bidi="ar"/>
            </w:rPr>
            <m:t>)</m:t>
          </m:r>
        </m:oMath>
      </m:oMathPara>
    </w:p>
    <w:p>
      <w:pPr>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 xml:space="preserve">where </w:t>
      </w:r>
      <m:oMath>
        <m:r>
          <m:rPr>
            <m:sty m:val="p"/>
          </m:rPr>
          <w:rPr>
            <w:rFonts w:ascii="Cambria Math" w:hAnsi="Cambria Math"/>
            <w:color w:val="000000"/>
            <w:sz w:val="20"/>
            <w:szCs w:val="20"/>
            <w:highlight w:val="none"/>
            <w:lang w:bidi="ar"/>
          </w:rPr>
          <m:t>λ</m:t>
        </m:r>
      </m:oMath>
      <w:r>
        <w:rPr>
          <w:rFonts w:ascii="Times New Roman" w:hAnsi="Times New Roman"/>
          <w:sz w:val="20"/>
          <w:szCs w:val="20"/>
          <w:highlight w:val="none"/>
        </w:rPr>
        <w:t xml:space="preserve"> is the wavelength of measured PRS, </w:t>
      </w:r>
      <m:oMath>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N</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3</m:t>
            </m:r>
            <m:ctrlPr>
              <w:rPr>
                <w:rFonts w:ascii="Cambria Math" w:hAnsi="Cambria Math" w:eastAsia="宋体"/>
                <w:color w:val="000000"/>
                <w:sz w:val="20"/>
                <w:szCs w:val="20"/>
                <w:highlight w:val="none"/>
                <w:lang w:bidi="ar"/>
              </w:rPr>
            </m:ctrlPr>
          </m:sub>
        </m:sSub>
      </m:oMath>
      <w:r>
        <w:rPr>
          <w:rFonts w:hint="eastAsia" w:ascii="Times New Roman" w:hAnsi="Times New Roman"/>
          <w:sz w:val="20"/>
          <w:szCs w:val="20"/>
          <w:highlight w:val="none"/>
        </w:rPr>
        <w:t xml:space="preserve"> and </w:t>
      </w:r>
      <m:oMath>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N</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4</m:t>
            </m:r>
            <m:ctrlPr>
              <w:rPr>
                <w:rFonts w:ascii="Cambria Math" w:hAnsi="Cambria Math" w:eastAsia="宋体"/>
                <w:color w:val="000000"/>
                <w:sz w:val="20"/>
                <w:szCs w:val="20"/>
                <w:highlight w:val="none"/>
                <w:lang w:bidi="ar"/>
              </w:rPr>
            </m:ctrlPr>
          </m:sub>
        </m:sSub>
      </m:oMath>
      <w:r>
        <w:rPr>
          <w:rFonts w:ascii="Times New Roman" w:hAnsi="Times New Roman"/>
          <w:sz w:val="20"/>
          <w:szCs w:val="20"/>
          <w:highlight w:val="none"/>
        </w:rPr>
        <w:t xml:space="preserve"> </w:t>
      </w:r>
      <w:r>
        <w:rPr>
          <w:rFonts w:hint="eastAsia" w:ascii="Times New Roman" w:hAnsi="Times New Roman"/>
          <w:sz w:val="20"/>
          <w:szCs w:val="20"/>
          <w:highlight w:val="none"/>
        </w:rPr>
        <w:t>are</w:t>
      </w:r>
      <w:r>
        <w:rPr>
          <w:rFonts w:ascii="Times New Roman" w:hAnsi="Times New Roman"/>
          <w:sz w:val="20"/>
          <w:szCs w:val="20"/>
          <w:highlight w:val="none"/>
        </w:rPr>
        <w:t xml:space="preserve"> the integer part</w:t>
      </w:r>
      <w:r>
        <w:rPr>
          <w:rFonts w:hint="eastAsia" w:ascii="Times New Roman" w:hAnsi="Times New Roman"/>
          <w:sz w:val="20"/>
          <w:szCs w:val="20"/>
          <w:highlight w:val="none"/>
        </w:rPr>
        <w:t>s of PRU 3 and PRU 4</w:t>
      </w:r>
      <w:r>
        <w:rPr>
          <w:rFonts w:ascii="Times New Roman" w:hAnsi="Times New Roman"/>
          <w:sz w:val="20"/>
          <w:szCs w:val="20"/>
          <w:highlight w:val="none"/>
        </w:rPr>
        <w:t>, combining the above formula, the actual TRP antenna location (</w:t>
      </w:r>
      <w:r>
        <w:rPr>
          <w:rFonts w:ascii="Times New Roman" w:hAnsi="Times New Roman"/>
          <w:i/>
          <w:iCs/>
          <w:sz w:val="20"/>
          <w:szCs w:val="20"/>
          <w:highlight w:val="none"/>
        </w:rPr>
        <w:t>X,Y</w:t>
      </w:r>
      <w:r>
        <w:rPr>
          <w:rFonts w:ascii="Times New Roman" w:hAnsi="Times New Roman"/>
          <w:sz w:val="20"/>
          <w:szCs w:val="20"/>
          <w:highlight w:val="none"/>
        </w:rPr>
        <w:t>) can be calculated. The estimated ARP error (</w:t>
      </w:r>
      <w:r>
        <w:rPr>
          <w:rFonts w:ascii="Times New Roman" w:hAnsi="Times New Roman"/>
          <w:i/>
          <w:iCs/>
          <w:sz w:val="20"/>
          <w:szCs w:val="20"/>
          <w:highlight w:val="none"/>
        </w:rPr>
        <w:t>e</w:t>
      </w:r>
      <w:r>
        <w:rPr>
          <w:rFonts w:ascii="Times New Roman" w:hAnsi="Times New Roman"/>
          <w:i/>
          <w:iCs/>
          <w:sz w:val="20"/>
          <w:szCs w:val="20"/>
          <w:highlight w:val="none"/>
          <w:vertAlign w:val="subscript"/>
        </w:rPr>
        <w:t>x</w:t>
      </w:r>
      <w:r>
        <w:rPr>
          <w:rFonts w:ascii="Times New Roman" w:hAnsi="Times New Roman"/>
          <w:i/>
          <w:iCs/>
          <w:sz w:val="20"/>
          <w:szCs w:val="20"/>
          <w:highlight w:val="none"/>
        </w:rPr>
        <w:t>,e</w:t>
      </w:r>
      <w:r>
        <w:rPr>
          <w:rFonts w:ascii="Times New Roman" w:hAnsi="Times New Roman"/>
          <w:i/>
          <w:iCs/>
          <w:sz w:val="20"/>
          <w:szCs w:val="20"/>
          <w:highlight w:val="none"/>
          <w:vertAlign w:val="subscript"/>
        </w:rPr>
        <w:t>y</w:t>
      </w:r>
      <w:r>
        <w:rPr>
          <w:rFonts w:ascii="Times New Roman" w:hAnsi="Times New Roman"/>
          <w:sz w:val="20"/>
          <w:szCs w:val="20"/>
          <w:highlight w:val="none"/>
        </w:rPr>
        <w:t>) can be calculated</w:t>
      </w:r>
      <w:r>
        <w:rPr>
          <w:rFonts w:hint="eastAsia" w:ascii="Times New Roman" w:hAnsi="Times New Roman"/>
          <w:sz w:val="20"/>
          <w:szCs w:val="20"/>
          <w:highlight w:val="none"/>
        </w:rPr>
        <w:t xml:space="preserve"> as follows:</w:t>
      </w:r>
    </w:p>
    <w:p>
      <w:pPr>
        <w:adjustRightInd w:val="0"/>
        <w:snapToGrid w:val="0"/>
        <w:spacing w:before="180" w:beforeLines="50" w:after="180" w:afterLines="50" w:line="240" w:lineRule="auto"/>
        <w:jc w:val="center"/>
        <w:rPr>
          <w:rFonts w:ascii="Times New Roman" w:hAnsi="Times New Roman"/>
          <w:sz w:val="20"/>
          <w:szCs w:val="20"/>
          <w:highlight w:val="none"/>
        </w:rPr>
      </w:pPr>
      <m:oMath>
        <m:sSub>
          <m:sSubPr>
            <m:ctrlPr>
              <w:rPr>
                <w:rStyle w:val="35"/>
                <w:rFonts w:ascii="Cambria Math" w:hAnsi="Cambria Math"/>
                <w:i/>
                <w:sz w:val="20"/>
                <w:szCs w:val="20"/>
                <w:highlight w:val="none"/>
              </w:rPr>
            </m:ctrlPr>
          </m:sSubPr>
          <m:e>
            <m:r>
              <m:rPr/>
              <w:rPr>
                <w:rStyle w:val="35"/>
                <w:rFonts w:ascii="Cambria Math" w:hAnsi="Cambria Math"/>
                <w:sz w:val="20"/>
                <w:szCs w:val="20"/>
                <w:highlight w:val="none"/>
              </w:rPr>
              <m:t>e</m:t>
            </m:r>
            <m:ctrlPr>
              <w:rPr>
                <w:rStyle w:val="35"/>
                <w:rFonts w:ascii="Cambria Math" w:hAnsi="Cambria Math"/>
                <w:i/>
                <w:sz w:val="20"/>
                <w:szCs w:val="20"/>
                <w:highlight w:val="none"/>
              </w:rPr>
            </m:ctrlPr>
          </m:e>
          <m:sub>
            <m:r>
              <m:rPr/>
              <w:rPr>
                <w:rStyle w:val="35"/>
                <w:rFonts w:ascii="Cambria Math" w:hAnsi="Cambria Math"/>
                <w:sz w:val="20"/>
                <w:szCs w:val="20"/>
                <w:highlight w:val="none"/>
              </w:rPr>
              <m:t>x</m:t>
            </m:r>
            <m:ctrlPr>
              <w:rPr>
                <w:rStyle w:val="35"/>
                <w:rFonts w:ascii="Cambria Math" w:hAnsi="Cambria Math"/>
                <w:i/>
                <w:sz w:val="20"/>
                <w:szCs w:val="20"/>
                <w:highlight w:val="none"/>
              </w:rPr>
            </m:ctrlPr>
          </m:sub>
        </m:sSub>
        <m:r>
          <m:rPr/>
          <w:rPr>
            <w:rStyle w:val="35"/>
            <w:rFonts w:ascii="Cambria Math" w:hAnsi="Cambria Math"/>
            <w:sz w:val="20"/>
            <w:szCs w:val="20"/>
            <w:highlight w:val="none"/>
          </w:rPr>
          <m:t xml:space="preserve">=X−x, </m:t>
        </m:r>
        <m:sSub>
          <m:sSubPr>
            <m:ctrlPr>
              <w:rPr>
                <w:rStyle w:val="35"/>
                <w:rFonts w:ascii="Cambria Math" w:hAnsi="Cambria Math"/>
                <w:i/>
                <w:sz w:val="20"/>
                <w:szCs w:val="20"/>
                <w:highlight w:val="none"/>
              </w:rPr>
            </m:ctrlPr>
          </m:sSubPr>
          <m:e>
            <m:r>
              <m:rPr/>
              <w:rPr>
                <w:rStyle w:val="35"/>
                <w:rFonts w:ascii="Cambria Math" w:hAnsi="Cambria Math"/>
                <w:sz w:val="20"/>
                <w:szCs w:val="20"/>
                <w:highlight w:val="none"/>
              </w:rPr>
              <m:t>e</m:t>
            </m:r>
            <m:ctrlPr>
              <w:rPr>
                <w:rStyle w:val="35"/>
                <w:rFonts w:ascii="Cambria Math" w:hAnsi="Cambria Math"/>
                <w:i/>
                <w:sz w:val="20"/>
                <w:szCs w:val="20"/>
                <w:highlight w:val="none"/>
              </w:rPr>
            </m:ctrlPr>
          </m:e>
          <m:sub>
            <m:r>
              <m:rPr/>
              <w:rPr>
                <w:rStyle w:val="35"/>
                <w:rFonts w:ascii="Cambria Math" w:hAnsi="Cambria Math"/>
                <w:sz w:val="20"/>
                <w:szCs w:val="20"/>
                <w:highlight w:val="none"/>
              </w:rPr>
              <m:t>y</m:t>
            </m:r>
            <m:ctrlPr>
              <w:rPr>
                <w:rStyle w:val="35"/>
                <w:rFonts w:ascii="Cambria Math" w:hAnsi="Cambria Math"/>
                <w:i/>
                <w:sz w:val="20"/>
                <w:szCs w:val="20"/>
                <w:highlight w:val="none"/>
              </w:rPr>
            </m:ctrlPr>
          </m:sub>
        </m:sSub>
        <m:r>
          <m:rPr/>
          <w:rPr>
            <w:rStyle w:val="35"/>
            <w:rFonts w:ascii="Cambria Math" w:hAnsi="Cambria Math"/>
            <w:sz w:val="20"/>
            <w:szCs w:val="20"/>
            <w:highlight w:val="none"/>
          </w:rPr>
          <m:t>=Y−y</m:t>
        </m:r>
      </m:oMath>
      <w:r>
        <w:rPr>
          <w:rFonts w:ascii="Times New Roman" w:hAnsi="Times New Roman"/>
          <w:sz w:val="20"/>
          <w:szCs w:val="20"/>
          <w:highlight w:val="none"/>
        </w:rPr>
        <w:t>.</w:t>
      </w:r>
    </w:p>
    <w:p>
      <w:pPr>
        <w:widowControl w:val="0"/>
        <w:adjustRightInd w:val="0"/>
        <w:snapToGrid w:val="0"/>
        <w:spacing w:before="180" w:beforeLines="50" w:after="180" w:afterLines="50" w:line="240" w:lineRule="auto"/>
        <w:jc w:val="both"/>
        <w:rPr>
          <w:rFonts w:ascii="Times New Roman" w:hAnsi="Times New Roman"/>
          <w:b/>
          <w:bCs/>
          <w:sz w:val="20"/>
          <w:szCs w:val="20"/>
          <w:highlight w:val="none"/>
        </w:rPr>
      </w:pPr>
      <w:r>
        <w:rPr>
          <w:rFonts w:ascii="Times New Roman" w:hAnsi="Times New Roman"/>
          <w:b/>
          <w:bCs/>
          <w:sz w:val="20"/>
          <w:szCs w:val="20"/>
          <w:highlight w:val="none"/>
        </w:rPr>
        <w:t>STEP 4: Error delivery</w:t>
      </w:r>
    </w:p>
    <w:p>
      <w:pPr>
        <w:widowControl w:val="0"/>
        <w:adjustRightInd w:val="0"/>
        <w:snapToGrid w:val="0"/>
        <w:spacing w:before="180" w:beforeLines="50" w:after="180" w:afterLines="50" w:line="240" w:lineRule="auto"/>
        <w:ind w:firstLine="0" w:firstLineChars="0"/>
        <w:jc w:val="both"/>
        <w:rPr>
          <w:rFonts w:ascii="Times New Roman" w:hAnsi="Times New Roman"/>
          <w:sz w:val="20"/>
          <w:szCs w:val="20"/>
          <w:highlight w:val="none"/>
        </w:rPr>
      </w:pPr>
      <w:r>
        <w:rPr>
          <w:rFonts w:ascii="Times New Roman" w:hAnsi="Times New Roman"/>
          <w:sz w:val="20"/>
          <w:szCs w:val="20"/>
          <w:highlight w:val="none"/>
        </w:rPr>
        <w:t xml:space="preserve">After error calculation, LMF can deliver the estimated error to UE for further location calculation. In this way, UE can get more precise </w:t>
      </w:r>
      <w:r>
        <w:rPr>
          <w:rFonts w:hint="eastAsia" w:ascii="Times New Roman" w:hAnsi="Times New Roman"/>
          <w:sz w:val="20"/>
          <w:szCs w:val="20"/>
          <w:highlight w:val="none"/>
        </w:rPr>
        <w:t>positioning</w:t>
      </w:r>
      <w:r>
        <w:rPr>
          <w:rFonts w:ascii="Times New Roman" w:hAnsi="Times New Roman"/>
          <w:sz w:val="20"/>
          <w:szCs w:val="20"/>
          <w:highlight w:val="none"/>
        </w:rPr>
        <w:t xml:space="preserve"> result</w:t>
      </w:r>
      <w:r>
        <w:rPr>
          <w:rFonts w:hint="eastAsia" w:ascii="Times New Roman" w:hAnsi="Times New Roman"/>
          <w:sz w:val="20"/>
          <w:szCs w:val="20"/>
          <w:highlight w:val="none"/>
        </w:rPr>
        <w:t>s</w:t>
      </w:r>
      <w:r>
        <w:rPr>
          <w:rFonts w:ascii="Times New Roman" w:hAnsi="Times New Roman"/>
          <w:sz w:val="20"/>
          <w:szCs w:val="20"/>
          <w:highlight w:val="none"/>
        </w:rPr>
        <w:t xml:space="preserve"> while calibrating the ARP error. </w:t>
      </w:r>
      <w:r>
        <w:rPr>
          <w:rFonts w:hint="eastAsia" w:ascii="Times New Roman" w:hAnsi="Times New Roman"/>
          <w:sz w:val="20"/>
          <w:szCs w:val="20"/>
          <w:highlight w:val="none"/>
        </w:rPr>
        <w:t xml:space="preserve">The carrier phase error can also be calculated in the same way. </w:t>
      </w:r>
      <w:r>
        <w:rPr>
          <w:rFonts w:ascii="Times New Roman" w:hAnsi="Times New Roman"/>
          <w:sz w:val="20"/>
          <w:szCs w:val="20"/>
          <w:highlight w:val="none"/>
        </w:rPr>
        <w:t>Hence, we have the following proposal.</w:t>
      </w:r>
    </w:p>
    <w:p>
      <w:pPr>
        <w:widowControl w:val="0"/>
        <w:adjustRightInd w:val="0"/>
        <w:snapToGrid w:val="0"/>
        <w:spacing w:before="180" w:beforeLines="50" w:after="180" w:afterLines="50" w:line="240" w:lineRule="auto"/>
        <w:jc w:val="both"/>
        <w:rPr>
          <w:rFonts w:ascii="Times New Roman" w:hAnsi="Times New Roman"/>
          <w:color w:val="000000"/>
          <w:sz w:val="20"/>
          <w:szCs w:val="20"/>
          <w:highlight w:val="none"/>
          <w:lang w:bidi="ar"/>
        </w:rPr>
      </w:pPr>
      <w:r>
        <w:rPr>
          <w:rFonts w:ascii="Times New Roman" w:hAnsi="Times New Roman"/>
          <w:sz w:val="20"/>
          <w:szCs w:val="20"/>
          <w:highlight w:val="none"/>
        </w:rPr>
        <w:t xml:space="preserve">In </w:t>
      </w:r>
      <w:r>
        <w:rPr>
          <w:rFonts w:hint="eastAsia" w:ascii="Times New Roman" w:hAnsi="Times New Roman"/>
          <w:sz w:val="20"/>
          <w:szCs w:val="20"/>
          <w:highlight w:val="none"/>
        </w:rPr>
        <w:t xml:space="preserve">the </w:t>
      </w:r>
      <w:r>
        <w:rPr>
          <w:rFonts w:ascii="Times New Roman" w:hAnsi="Times New Roman"/>
          <w:sz w:val="20"/>
          <w:szCs w:val="20"/>
          <w:highlight w:val="none"/>
        </w:rPr>
        <w:t>PRU-assisted carrier phase positioning procedure, PRU knows the exact location where it camps on. Assume that the coordinates of TRP and PRU are (</w:t>
      </w:r>
      <w:r>
        <w:rPr>
          <w:rFonts w:ascii="Times New Roman" w:hAnsi="Times New Roman"/>
          <w:i/>
          <w:iCs/>
          <w:sz w:val="20"/>
          <w:szCs w:val="20"/>
          <w:highlight w:val="none"/>
        </w:rPr>
        <w:t>x</w:t>
      </w:r>
      <w:r>
        <w:rPr>
          <w:rFonts w:ascii="Times New Roman" w:hAnsi="Times New Roman"/>
          <w:i/>
          <w:iCs/>
          <w:sz w:val="20"/>
          <w:szCs w:val="20"/>
          <w:highlight w:val="none"/>
          <w:vertAlign w:val="subscript"/>
        </w:rPr>
        <w:t>T</w:t>
      </w:r>
      <w:r>
        <w:rPr>
          <w:rFonts w:ascii="Times New Roman" w:hAnsi="Times New Roman"/>
          <w:i/>
          <w:iCs/>
          <w:sz w:val="20"/>
          <w:szCs w:val="20"/>
          <w:highlight w:val="none"/>
        </w:rPr>
        <w:t>,y</w:t>
      </w:r>
      <w:r>
        <w:rPr>
          <w:rFonts w:ascii="Times New Roman" w:hAnsi="Times New Roman"/>
          <w:i/>
          <w:iCs/>
          <w:sz w:val="20"/>
          <w:szCs w:val="20"/>
          <w:highlight w:val="none"/>
          <w:vertAlign w:val="subscript"/>
        </w:rPr>
        <w:t>T</w:t>
      </w:r>
      <w:r>
        <w:rPr>
          <w:rFonts w:ascii="Times New Roman" w:hAnsi="Times New Roman"/>
          <w:sz w:val="20"/>
          <w:szCs w:val="20"/>
          <w:highlight w:val="none"/>
        </w:rPr>
        <w:t>), (</w:t>
      </w:r>
      <w:r>
        <w:rPr>
          <w:rFonts w:ascii="Times New Roman" w:hAnsi="Times New Roman"/>
          <w:i/>
          <w:iCs/>
          <w:sz w:val="20"/>
          <w:szCs w:val="20"/>
          <w:highlight w:val="none"/>
        </w:rPr>
        <w:t>x</w:t>
      </w:r>
      <w:r>
        <w:rPr>
          <w:rFonts w:ascii="Times New Roman" w:hAnsi="Times New Roman"/>
          <w:i/>
          <w:iCs/>
          <w:sz w:val="20"/>
          <w:szCs w:val="20"/>
          <w:highlight w:val="none"/>
          <w:vertAlign w:val="subscript"/>
        </w:rPr>
        <w:t>P</w:t>
      </w:r>
      <w:r>
        <w:rPr>
          <w:rFonts w:ascii="Times New Roman" w:hAnsi="Times New Roman"/>
          <w:i/>
          <w:iCs/>
          <w:sz w:val="20"/>
          <w:szCs w:val="20"/>
          <w:highlight w:val="none"/>
        </w:rPr>
        <w:t>,y</w:t>
      </w:r>
      <w:r>
        <w:rPr>
          <w:rFonts w:ascii="Times New Roman" w:hAnsi="Times New Roman"/>
          <w:i/>
          <w:iCs/>
          <w:sz w:val="20"/>
          <w:szCs w:val="20"/>
          <w:highlight w:val="none"/>
          <w:vertAlign w:val="subscript"/>
        </w:rPr>
        <w:t>P</w:t>
      </w:r>
      <w:r>
        <w:rPr>
          <w:rFonts w:ascii="Times New Roman" w:hAnsi="Times New Roman"/>
          <w:sz w:val="20"/>
          <w:szCs w:val="20"/>
          <w:highlight w:val="none"/>
        </w:rPr>
        <w:t xml:space="preserve">) respectively, and the PRS carrier phase measured by PRU is </w:t>
      </w:r>
      <m:oMath>
        <m:sSub>
          <m:sSubPr>
            <m:ctrlPr>
              <w:rPr>
                <w:rFonts w:ascii="Cambria Math" w:hAnsi="Cambria Math" w:eastAsia="宋体"/>
                <w:color w:val="000000"/>
                <w:sz w:val="20"/>
                <w:szCs w:val="20"/>
                <w:highlight w:val="none"/>
                <w:lang w:bidi="ar"/>
              </w:rPr>
            </m:ctrlPr>
          </m:sSubPr>
          <m:e>
            <m:r>
              <m:rPr>
                <m:sty m:val="p"/>
              </m:rPr>
              <w:rPr>
                <w:rFonts w:ascii="Cambria Math" w:hAnsi="Cambria Math"/>
                <w:color w:val="000000"/>
                <w:sz w:val="20"/>
                <w:szCs w:val="20"/>
                <w:highlight w:val="none"/>
                <w:lang w:bidi="ar"/>
              </w:rPr>
              <m:t>φ</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p</m:t>
            </m:r>
            <m:ctrlPr>
              <w:rPr>
                <w:rFonts w:ascii="Cambria Math" w:hAnsi="Cambria Math" w:eastAsia="宋体"/>
                <w:color w:val="000000"/>
                <w:sz w:val="20"/>
                <w:szCs w:val="20"/>
                <w:highlight w:val="none"/>
                <w:lang w:bidi="ar"/>
              </w:rPr>
            </m:ctrlPr>
          </m:sub>
        </m:sSub>
      </m:oMath>
      <w:r>
        <w:rPr>
          <w:rFonts w:ascii="Times New Roman" w:hAnsi="Times New Roman" w:eastAsia="宋体"/>
          <w:color w:val="000000"/>
          <w:sz w:val="20"/>
          <w:szCs w:val="20"/>
          <w:highlight w:val="none"/>
          <w:lang w:bidi="ar"/>
        </w:rPr>
        <w:t>, the carrier phase error is Δ</w:t>
      </w:r>
      <m:oMath>
        <m:r>
          <m:rPr>
            <m:sty m:val="p"/>
          </m:rPr>
          <w:rPr>
            <w:rFonts w:ascii="Cambria Math" w:hAnsi="Cambria Math"/>
            <w:color w:val="000000"/>
            <w:sz w:val="20"/>
            <w:szCs w:val="20"/>
            <w:highlight w:val="none"/>
            <w:lang w:bidi="ar"/>
          </w:rPr>
          <m:t>φ</m:t>
        </m:r>
      </m:oMath>
      <w:r>
        <w:rPr>
          <w:rFonts w:ascii="Times New Roman" w:hAnsi="Times New Roman"/>
          <w:color w:val="000000"/>
          <w:sz w:val="20"/>
          <w:szCs w:val="20"/>
          <w:highlight w:val="none"/>
          <w:lang w:bidi="ar"/>
        </w:rPr>
        <w:t xml:space="preserve">, the distance between TRP and PRU is </w:t>
      </w:r>
    </w:p>
    <w:p>
      <w:pPr>
        <w:adjustRightInd w:val="0"/>
        <w:snapToGrid w:val="0"/>
        <w:spacing w:before="180" w:beforeLines="50" w:after="180" w:afterLines="50" w:line="240" w:lineRule="auto"/>
        <w:jc w:val="center"/>
        <w:rPr>
          <w:rFonts w:ascii="Times New Roman" w:hAnsi="Times New Roman"/>
          <w:color w:val="000000"/>
          <w:sz w:val="20"/>
          <w:szCs w:val="20"/>
          <w:highlight w:val="none"/>
          <w:lang w:bidi="ar"/>
        </w:rPr>
      </w:pPr>
      <m:oMath>
        <m:r>
          <m:rPr>
            <m:sty m:val="p"/>
          </m:rPr>
          <w:rPr>
            <w:rFonts w:ascii="Cambria Math" w:hAnsi="Cambria Math" w:eastAsia="宋体"/>
            <w:color w:val="000000"/>
            <w:sz w:val="20"/>
            <w:szCs w:val="20"/>
            <w:highlight w:val="none"/>
            <w:lang w:bidi="ar"/>
          </w:rPr>
          <m:t>D=</m:t>
        </m:r>
        <m:rad>
          <m:radPr>
            <m:degHide m:val="1"/>
            <m:ctrlPr>
              <w:rPr>
                <w:rFonts w:ascii="Cambria Math" w:hAnsi="Cambria Math" w:eastAsia="宋体"/>
                <w:color w:val="000000"/>
                <w:sz w:val="20"/>
                <w:szCs w:val="20"/>
                <w:highlight w:val="none"/>
                <w:lang w:bidi="ar"/>
              </w:rPr>
            </m:ctrlPr>
          </m:radPr>
          <m:deg>
            <m:ctrlPr>
              <w:rPr>
                <w:rFonts w:ascii="Cambria Math" w:hAnsi="Cambria Math" w:eastAsia="宋体"/>
                <w:color w:val="000000"/>
                <w:sz w:val="20"/>
                <w:szCs w:val="20"/>
                <w:highlight w:val="none"/>
                <w:lang w:bidi="ar"/>
              </w:rPr>
            </m:ctrlPr>
          </m:deg>
          <m:e>
            <m:sSup>
              <m:sSupPr>
                <m:ctrlPr>
                  <w:rPr>
                    <w:rFonts w:ascii="Cambria Math" w:hAnsi="Cambria Math" w:eastAsia="宋体"/>
                    <w:color w:val="000000"/>
                    <w:sz w:val="20"/>
                    <w:szCs w:val="20"/>
                    <w:highlight w:val="none"/>
                    <w:lang w:bidi="ar"/>
                  </w:rPr>
                </m:ctrlPr>
              </m:sSupPr>
              <m:e>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x</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T</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x</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P</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ctrlPr>
                  <w:rPr>
                    <w:rFonts w:ascii="Cambria Math" w:hAnsi="Cambria Math" w:eastAsia="宋体"/>
                    <w:color w:val="000000"/>
                    <w:sz w:val="20"/>
                    <w:szCs w:val="20"/>
                    <w:highlight w:val="none"/>
                    <w:lang w:bidi="ar"/>
                  </w:rPr>
                </m:ctrlPr>
              </m:e>
              <m:sup>
                <m:r>
                  <m:rPr>
                    <m:sty m:val="p"/>
                  </m:rPr>
                  <w:rPr>
                    <w:rFonts w:ascii="Cambria Math" w:hAnsi="Cambria Math" w:eastAsia="宋体"/>
                    <w:color w:val="000000"/>
                    <w:sz w:val="20"/>
                    <w:szCs w:val="20"/>
                    <w:highlight w:val="none"/>
                    <w:lang w:bidi="ar"/>
                  </w:rPr>
                  <m:t>2</m:t>
                </m:r>
                <m:ctrlPr>
                  <w:rPr>
                    <w:rFonts w:ascii="Cambria Math" w:hAnsi="Cambria Math" w:eastAsia="宋体"/>
                    <w:color w:val="000000"/>
                    <w:sz w:val="20"/>
                    <w:szCs w:val="20"/>
                    <w:highlight w:val="none"/>
                    <w:lang w:bidi="ar"/>
                  </w:rPr>
                </m:ctrlPr>
              </m:sup>
            </m:sSup>
            <m:r>
              <m:rPr>
                <m:sty m:val="p"/>
              </m:rPr>
              <w:rPr>
                <w:rFonts w:ascii="Cambria Math" w:hAnsi="Cambria Math" w:eastAsia="宋体"/>
                <w:color w:val="000000"/>
                <w:sz w:val="20"/>
                <w:szCs w:val="20"/>
                <w:highlight w:val="none"/>
                <w:lang w:bidi="ar"/>
              </w:rPr>
              <m:t>+</m:t>
            </m:r>
            <m:sSup>
              <m:sSupPr>
                <m:ctrlPr>
                  <w:rPr>
                    <w:rFonts w:ascii="Cambria Math" w:hAnsi="Cambria Math" w:eastAsia="宋体"/>
                    <w:color w:val="000000"/>
                    <w:sz w:val="20"/>
                    <w:szCs w:val="20"/>
                    <w:highlight w:val="none"/>
                    <w:lang w:bidi="ar"/>
                  </w:rPr>
                </m:ctrlPr>
              </m:sSupPr>
              <m:e>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y</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T</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y</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P</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ctrlPr>
                  <w:rPr>
                    <w:rFonts w:ascii="Cambria Math" w:hAnsi="Cambria Math" w:eastAsia="宋体"/>
                    <w:color w:val="000000"/>
                    <w:sz w:val="20"/>
                    <w:szCs w:val="20"/>
                    <w:highlight w:val="none"/>
                    <w:lang w:bidi="ar"/>
                  </w:rPr>
                </m:ctrlPr>
              </m:e>
              <m:sup>
                <m:r>
                  <m:rPr>
                    <m:sty m:val="p"/>
                  </m:rPr>
                  <w:rPr>
                    <w:rFonts w:ascii="Cambria Math" w:hAnsi="Cambria Math" w:eastAsia="宋体"/>
                    <w:color w:val="000000"/>
                    <w:sz w:val="20"/>
                    <w:szCs w:val="20"/>
                    <w:highlight w:val="none"/>
                    <w:lang w:bidi="ar"/>
                  </w:rPr>
                  <m:t>2</m:t>
                </m:r>
                <m:ctrlPr>
                  <w:rPr>
                    <w:rFonts w:ascii="Cambria Math" w:hAnsi="Cambria Math" w:eastAsia="宋体"/>
                    <w:color w:val="000000"/>
                    <w:sz w:val="20"/>
                    <w:szCs w:val="20"/>
                    <w:highlight w:val="none"/>
                    <w:lang w:bidi="ar"/>
                  </w:rPr>
                </m:ctrlPr>
              </m:sup>
            </m:sSup>
            <m:ctrlPr>
              <w:rPr>
                <w:rFonts w:ascii="Cambria Math" w:hAnsi="Cambria Math" w:eastAsia="宋体"/>
                <w:color w:val="000000"/>
                <w:sz w:val="20"/>
                <w:szCs w:val="20"/>
                <w:highlight w:val="none"/>
                <w:lang w:bidi="ar"/>
              </w:rPr>
            </m:ctrlPr>
          </m:e>
        </m:rad>
        <m:r>
          <m:rPr>
            <m:sty m:val="p"/>
          </m:rPr>
          <w:rPr>
            <w:rFonts w:ascii="Cambria Math" w:hAnsi="Cambria Math" w:eastAsia="宋体"/>
            <w:color w:val="000000"/>
            <w:sz w:val="20"/>
            <w:szCs w:val="20"/>
            <w:highlight w:val="none"/>
            <w:lang w:bidi="ar"/>
          </w:rPr>
          <m:t>=</m:t>
        </m:r>
        <m:r>
          <m:rPr>
            <m:sty m:val="p"/>
          </m:rPr>
          <w:rPr>
            <w:rFonts w:ascii="Cambria Math" w:hAnsi="Cambria Math"/>
            <w:color w:val="000000"/>
            <w:sz w:val="20"/>
            <w:szCs w:val="20"/>
            <w:highlight w:val="none"/>
            <w:lang w:bidi="ar"/>
          </w:rPr>
          <m:t>λ[</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N</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p</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m:t>
        </m:r>
        <m:sSub>
          <m:sSubPr>
            <m:ctrlPr>
              <w:rPr>
                <w:rFonts w:ascii="Cambria Math" w:hAnsi="Cambria Math" w:eastAsia="宋体"/>
                <w:color w:val="000000"/>
                <w:sz w:val="20"/>
                <w:szCs w:val="20"/>
                <w:highlight w:val="none"/>
                <w:lang w:bidi="ar"/>
              </w:rPr>
            </m:ctrlPr>
          </m:sSubPr>
          <m:e>
            <m:r>
              <m:rPr>
                <m:sty m:val="p"/>
              </m:rPr>
              <w:rPr>
                <w:rFonts w:ascii="Cambria Math" w:hAnsi="Cambria Math" w:eastAsia="宋体"/>
                <w:color w:val="000000"/>
                <w:sz w:val="20"/>
                <w:szCs w:val="20"/>
                <w:highlight w:val="none"/>
                <w:lang w:bidi="ar"/>
              </w:rPr>
              <m:t>(</m:t>
            </m:r>
            <m:r>
              <m:rPr>
                <m:sty m:val="p"/>
              </m:rPr>
              <w:rPr>
                <w:rFonts w:ascii="Cambria Math" w:hAnsi="Cambria Math"/>
                <w:color w:val="000000"/>
                <w:sz w:val="20"/>
                <w:szCs w:val="20"/>
                <w:highlight w:val="none"/>
                <w:lang w:bidi="ar"/>
              </w:rPr>
              <m:t>φ</m:t>
            </m:r>
            <m:ctrlPr>
              <w:rPr>
                <w:rFonts w:ascii="Cambria Math" w:hAnsi="Cambria Math" w:eastAsia="宋体"/>
                <w:color w:val="000000"/>
                <w:sz w:val="20"/>
                <w:szCs w:val="20"/>
                <w:highlight w:val="none"/>
                <w:lang w:bidi="ar"/>
              </w:rPr>
            </m:ctrlPr>
          </m:e>
          <m:sub>
            <m:r>
              <m:rPr>
                <m:sty m:val="p"/>
              </m:rPr>
              <w:rPr>
                <w:rFonts w:ascii="Cambria Math" w:hAnsi="Cambria Math" w:eastAsia="宋体"/>
                <w:color w:val="000000"/>
                <w:sz w:val="20"/>
                <w:szCs w:val="20"/>
                <w:highlight w:val="none"/>
                <w:lang w:bidi="ar"/>
              </w:rPr>
              <m:t>p</m:t>
            </m:r>
            <m:ctrlPr>
              <w:rPr>
                <w:rFonts w:ascii="Cambria Math" w:hAnsi="Cambria Math" w:eastAsia="宋体"/>
                <w:color w:val="000000"/>
                <w:sz w:val="20"/>
                <w:szCs w:val="20"/>
                <w:highlight w:val="none"/>
                <w:lang w:bidi="ar"/>
              </w:rPr>
            </m:ctrlPr>
          </m:sub>
        </m:sSub>
        <m:r>
          <m:rPr>
            <m:sty m:val="p"/>
          </m:rPr>
          <w:rPr>
            <w:rFonts w:ascii="Cambria Math" w:hAnsi="Cambria Math" w:eastAsia="宋体"/>
            <w:color w:val="000000"/>
            <w:sz w:val="20"/>
            <w:szCs w:val="20"/>
            <w:highlight w:val="none"/>
            <w:lang w:bidi="ar"/>
          </w:rPr>
          <m:t>+Δ</m:t>
        </m:r>
        <m:r>
          <m:rPr>
            <m:sty m:val="p"/>
          </m:rPr>
          <w:rPr>
            <w:rFonts w:ascii="Cambria Math" w:hAnsi="Cambria Math"/>
            <w:color w:val="000000"/>
            <w:sz w:val="20"/>
            <w:szCs w:val="20"/>
            <w:highlight w:val="none"/>
            <w:lang w:bidi="ar"/>
          </w:rPr>
          <m:t>φ</m:t>
        </m:r>
        <m:r>
          <m:rPr>
            <m:sty m:val="p"/>
          </m:rPr>
          <w:rPr>
            <w:rFonts w:ascii="Cambria Math" w:hAnsi="Cambria Math" w:eastAsia="宋体"/>
            <w:color w:val="000000"/>
            <w:sz w:val="20"/>
            <w:szCs w:val="20"/>
            <w:highlight w:val="none"/>
            <w:lang w:bidi="ar"/>
          </w:rPr>
          <m:t>)/2</m:t>
        </m:r>
        <m:r>
          <m:rPr>
            <m:sty m:val="p"/>
          </m:rPr>
          <w:rPr>
            <w:rFonts w:ascii="Cambria Math" w:hAnsi="Cambria Math"/>
            <w:color w:val="000000"/>
            <w:sz w:val="20"/>
            <w:szCs w:val="20"/>
            <w:highlight w:val="none"/>
            <w:lang w:bidi="ar"/>
          </w:rPr>
          <m:t>π</m:t>
        </m:r>
      </m:oMath>
      <w:r>
        <w:rPr>
          <w:rFonts w:ascii="Times New Roman" w:hAnsi="Times New Roman"/>
          <w:color w:val="000000"/>
          <w:sz w:val="20"/>
          <w:szCs w:val="20"/>
          <w:highlight w:val="none"/>
          <w:lang w:bidi="ar"/>
        </w:rPr>
        <w:t>]</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color w:val="000000"/>
          <w:sz w:val="20"/>
          <w:szCs w:val="20"/>
          <w:highlight w:val="none"/>
          <w:lang w:bidi="ar"/>
        </w:rPr>
        <w:t>Substituting the known coordinates and measured carrier phase to the above equation, the carrier phase error can be calculated. And the estimated carrier phase error can be reported by PRU</w:t>
      </w:r>
      <w:r>
        <w:rPr>
          <w:rFonts w:hint="eastAsia" w:ascii="Times New Roman" w:hAnsi="Times New Roman"/>
          <w:color w:val="000000"/>
          <w:sz w:val="20"/>
          <w:szCs w:val="20"/>
          <w:highlight w:val="none"/>
          <w:lang w:bidi="ar"/>
        </w:rPr>
        <w:t xml:space="preserve"> to LMF</w:t>
      </w:r>
      <w:r>
        <w:rPr>
          <w:rFonts w:ascii="Times New Roman" w:hAnsi="Times New Roman"/>
          <w:color w:val="000000"/>
          <w:sz w:val="20"/>
          <w:szCs w:val="20"/>
          <w:highlight w:val="none"/>
          <w:lang w:bidi="ar"/>
        </w:rPr>
        <w:t>.</w:t>
      </w:r>
    </w:p>
    <w:p>
      <w:pPr>
        <w:pStyle w:val="96"/>
        <w:snapToGrid w:val="0"/>
        <w:spacing w:before="180" w:beforeLines="50" w:afterLines="50" w:line="240" w:lineRule="auto"/>
        <w:ind w:left="0"/>
        <w:jc w:val="both"/>
        <w:rPr>
          <w:rFonts w:hint="eastAsia" w:eastAsia="宋体"/>
          <w:i/>
          <w:highlight w:val="none"/>
          <w:lang w:val="en-US" w:eastAsia="zh-CN"/>
        </w:rPr>
      </w:pPr>
      <w:r>
        <w:rPr>
          <w:rFonts w:hint="eastAsia" w:eastAsia="MS Mincho"/>
          <w:bCs/>
          <w:sz w:val="20"/>
          <w:szCs w:val="24"/>
          <w:highlight w:val="none"/>
          <w:lang w:eastAsia="zh-CN"/>
        </w:rPr>
        <w:t>In our previous contributions [4,5], it is proved that single/dual differential technique with PRU can improve the positioning accuracy. And the previous discussion in RAN1 meetings demonstrated that the use of PRU in carrier phase positioning is beneficial for both UE-based and UE-assisted NR</w:t>
      </w:r>
      <w:r>
        <w:rPr>
          <w:rFonts w:hint="eastAsia" w:eastAsia="MS Mincho"/>
          <w:bCs/>
          <w:sz w:val="20"/>
          <w:szCs w:val="24"/>
          <w:highlight w:val="none"/>
          <w:lang w:val="en-US" w:eastAsia="zh-CN"/>
        </w:rPr>
        <w:t xml:space="preserve"> </w:t>
      </w:r>
      <w:r>
        <w:rPr>
          <w:rFonts w:hint="eastAsia" w:eastAsia="MS Mincho"/>
          <w:bCs/>
          <w:sz w:val="20"/>
          <w:szCs w:val="24"/>
          <w:highlight w:val="none"/>
          <w:lang w:eastAsia="zh-CN"/>
        </w:rPr>
        <w:t xml:space="preserve">positioning. PRU </w:t>
      </w:r>
      <w:r>
        <w:rPr>
          <w:rFonts w:hint="eastAsia" w:eastAsia="MS Mincho"/>
          <w:bCs/>
          <w:sz w:val="20"/>
          <w:szCs w:val="24"/>
          <w:highlight w:val="none"/>
          <w:lang w:val="en-US" w:eastAsia="zh-CN"/>
        </w:rPr>
        <w:t>can</w:t>
      </w:r>
      <w:r>
        <w:rPr>
          <w:rFonts w:hint="eastAsia" w:eastAsia="MS Mincho"/>
          <w:bCs/>
          <w:sz w:val="20"/>
          <w:szCs w:val="24"/>
          <w:highlight w:val="none"/>
          <w:lang w:eastAsia="zh-CN"/>
        </w:rPr>
        <w:t xml:space="preserve"> report the carrier phase measurement results to LMF. But for UE-based carrier phase positioning, all of the measurement results should be collected by UE. Therefore, LMF can forward the PRU carrier phase measurement results to UE for further location estimation. Hence, we have the following proposal:</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i/>
          <w:iCs w:val="0"/>
          <w:sz w:val="20"/>
          <w:szCs w:val="20"/>
          <w:highlight w:val="none"/>
          <w:lang w:val="en-US" w:eastAsia="zh-CN"/>
        </w:rPr>
      </w:pPr>
      <w:bookmarkStart w:id="15" w:name="_Ref23558"/>
      <w:r>
        <w:rPr>
          <w:rFonts w:hint="default" w:ascii="Times New Roman" w:hAnsi="Times New Roman" w:cs="Times New Roman"/>
          <w:b/>
          <w:bCs/>
          <w:i/>
          <w:iCs w:val="0"/>
          <w:sz w:val="20"/>
          <w:szCs w:val="20"/>
          <w:highlight w:val="none"/>
          <w:lang w:val="en-CA"/>
        </w:rPr>
        <w:t xml:space="preserve">Proposal </w:t>
      </w:r>
      <w:r>
        <w:rPr>
          <w:rFonts w:hint="default" w:ascii="Times New Roman" w:hAnsi="Times New Roman" w:cs="Times New Roman"/>
          <w:b/>
          <w:bCs/>
          <w:i/>
          <w:iCs w:val="0"/>
          <w:sz w:val="20"/>
          <w:szCs w:val="20"/>
          <w:highlight w:val="none"/>
          <w:lang w:val="en-CA"/>
        </w:rPr>
        <w:fldChar w:fldCharType="begin"/>
      </w:r>
      <w:r>
        <w:rPr>
          <w:rFonts w:hint="default" w:ascii="Times New Roman" w:hAnsi="Times New Roman" w:cs="Times New Roman"/>
          <w:b/>
          <w:bCs/>
          <w:i/>
          <w:iCs w:val="0"/>
          <w:sz w:val="20"/>
          <w:szCs w:val="20"/>
          <w:highlight w:val="none"/>
          <w:lang w:val="en-CA"/>
        </w:rPr>
        <w:instrText xml:space="preserve"> SEQ Proposal \* ARABIC </w:instrText>
      </w:r>
      <w:r>
        <w:rPr>
          <w:rFonts w:hint="default" w:ascii="Times New Roman" w:hAnsi="Times New Roman" w:cs="Times New Roman"/>
          <w:b/>
          <w:bCs/>
          <w:i/>
          <w:iCs w:val="0"/>
          <w:sz w:val="20"/>
          <w:szCs w:val="20"/>
          <w:highlight w:val="none"/>
          <w:lang w:val="en-CA"/>
        </w:rPr>
        <w:fldChar w:fldCharType="separate"/>
      </w:r>
      <w:r>
        <w:rPr>
          <w:rFonts w:hint="default" w:ascii="Times New Roman" w:hAnsi="Times New Roman" w:cs="Times New Roman"/>
          <w:b/>
          <w:bCs/>
          <w:i/>
          <w:iCs w:val="0"/>
          <w:sz w:val="20"/>
          <w:szCs w:val="20"/>
          <w:highlight w:val="none"/>
          <w:lang w:val="en-CA"/>
        </w:rPr>
        <w:t>6</w:t>
      </w:r>
      <w:r>
        <w:rPr>
          <w:rFonts w:hint="default" w:ascii="Times New Roman" w:hAnsi="Times New Roman" w:cs="Times New Roman"/>
          <w:b/>
          <w:bCs/>
          <w:i/>
          <w:iCs w:val="0"/>
          <w:sz w:val="20"/>
          <w:szCs w:val="20"/>
          <w:highlight w:val="none"/>
          <w:lang w:val="en-CA"/>
        </w:rPr>
        <w:fldChar w:fldCharType="end"/>
      </w:r>
      <w:r>
        <w:rPr>
          <w:rFonts w:hint="eastAsia" w:ascii="Times New Roman" w:hAnsi="Times New Roman" w:cs="Times New Roman"/>
          <w:b/>
          <w:bCs/>
          <w:i/>
          <w:iCs w:val="0"/>
          <w:sz w:val="20"/>
          <w:szCs w:val="20"/>
          <w:highlight w:val="none"/>
          <w:lang w:val="en-CA"/>
        </w:rPr>
        <w:t>:</w:t>
      </w:r>
      <w:r>
        <w:rPr>
          <w:rFonts w:hint="default" w:ascii="Times New Roman" w:hAnsi="Times New Roman" w:cs="Times New Roman"/>
          <w:b/>
          <w:bCs/>
          <w:i/>
          <w:iCs w:val="0"/>
          <w:sz w:val="20"/>
          <w:szCs w:val="20"/>
          <w:highlight w:val="none"/>
          <w:lang w:val="en-CA"/>
        </w:rPr>
        <w:t xml:space="preserve"> </w:t>
      </w:r>
      <w:r>
        <w:rPr>
          <w:rFonts w:hint="default" w:ascii="Times New Roman" w:hAnsi="Times New Roman" w:cs="Times New Roman"/>
          <w:b/>
          <w:bCs/>
          <w:i/>
          <w:iCs w:val="0"/>
          <w:sz w:val="20"/>
          <w:szCs w:val="20"/>
          <w:highlight w:val="none"/>
          <w:lang w:val="en-US" w:eastAsia="zh-CN"/>
        </w:rPr>
        <w:t>S</w:t>
      </w:r>
      <w:r>
        <w:rPr>
          <w:rFonts w:hint="default" w:ascii="Times New Roman" w:hAnsi="Times New Roman" w:cs="Times New Roman"/>
          <w:b/>
          <w:bCs/>
          <w:i/>
          <w:iCs w:val="0"/>
          <w:sz w:val="20"/>
          <w:szCs w:val="20"/>
          <w:highlight w:val="none"/>
          <w:lang w:val="en-CA"/>
        </w:rPr>
        <w:t xml:space="preserve">upport enabling </w:t>
      </w:r>
      <w:r>
        <w:rPr>
          <w:rFonts w:hint="default" w:ascii="Times New Roman" w:hAnsi="Times New Roman" w:cs="Times New Roman"/>
          <w:b/>
          <w:bCs/>
          <w:i/>
          <w:iCs w:val="0"/>
          <w:sz w:val="20"/>
          <w:szCs w:val="20"/>
          <w:highlight w:val="none"/>
          <w:lang w:val="en-US" w:eastAsia="zh-CN"/>
        </w:rPr>
        <w:t>PRU to report ARP error and phase error information.</w:t>
      </w:r>
      <w:bookmarkEnd w:id="15"/>
    </w:p>
    <w:p>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MS Mincho" w:cs="Times New Roman"/>
          <w:bCs/>
          <w:sz w:val="20"/>
          <w:szCs w:val="24"/>
          <w:highlight w:val="none"/>
          <w:lang w:val="en-US" w:eastAsia="zh-CN" w:bidi="ar-SA"/>
        </w:rPr>
      </w:pPr>
      <w:r>
        <w:rPr>
          <w:rFonts w:hint="eastAsia" w:ascii="Times New Roman" w:hAnsi="Times New Roman" w:eastAsia="MS Mincho" w:cs="Times New Roman"/>
          <w:bCs/>
          <w:sz w:val="20"/>
          <w:szCs w:val="24"/>
          <w:highlight w:val="none"/>
          <w:lang w:val="en-US" w:eastAsia="zh-CN" w:bidi="ar-SA"/>
        </w:rPr>
        <w:t xml:space="preserve">The current agreement supports that LMF is enabled to forward the DL </w:t>
      </w:r>
      <w:r>
        <w:rPr>
          <w:rFonts w:hint="eastAsia" w:ascii="Times New Roman" w:hAnsi="Times New Roman" w:eastAsia="MS Mincho" w:cs="Times New Roman"/>
          <w:bCs/>
          <w:sz w:val="20"/>
          <w:szCs w:val="24"/>
          <w:highlight w:val="none"/>
          <w:lang w:val="en-CA" w:eastAsia="zh-CN" w:bidi="ar-SA"/>
        </w:rPr>
        <w:t>carrier phase measurement reported by a PRU</w:t>
      </w:r>
      <w:r>
        <w:rPr>
          <w:rFonts w:hint="eastAsia" w:ascii="Times New Roman" w:hAnsi="Times New Roman" w:eastAsia="MS Mincho" w:cs="Times New Roman"/>
          <w:bCs/>
          <w:sz w:val="20"/>
          <w:szCs w:val="24"/>
          <w:highlight w:val="none"/>
          <w:lang w:val="en-US" w:eastAsia="zh-CN" w:bidi="ar-SA"/>
        </w:rPr>
        <w:t>. From our perspective, this would be resource-wasting if all of the PRU measurement results are forwarded to the UE as the overhead of these measurement results are heavy. A possible lightweight information forwarding way is to enable LMF forward ARP error and phase error information based on the reported PRU measurement results. Hence, we have the following proposal:</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i/>
          <w:iCs w:val="0"/>
          <w:sz w:val="20"/>
          <w:szCs w:val="20"/>
          <w:highlight w:val="none"/>
          <w:lang w:val="en-US" w:eastAsia="zh-CN"/>
        </w:rPr>
      </w:pPr>
      <w:bookmarkStart w:id="16" w:name="_Ref23562"/>
      <w:r>
        <w:rPr>
          <w:rFonts w:hint="default" w:ascii="Times New Roman" w:hAnsi="Times New Roman" w:cs="Times New Roman"/>
          <w:b/>
          <w:bCs/>
          <w:i/>
          <w:iCs w:val="0"/>
          <w:sz w:val="20"/>
          <w:szCs w:val="20"/>
          <w:highlight w:val="none"/>
          <w:lang w:val="en-CA"/>
        </w:rPr>
        <w:t xml:space="preserve">Proposal </w:t>
      </w:r>
      <w:r>
        <w:rPr>
          <w:rFonts w:hint="default" w:ascii="Times New Roman" w:hAnsi="Times New Roman" w:cs="Times New Roman"/>
          <w:b/>
          <w:bCs/>
          <w:i/>
          <w:iCs w:val="0"/>
          <w:sz w:val="20"/>
          <w:szCs w:val="20"/>
          <w:highlight w:val="none"/>
          <w:lang w:val="en-CA"/>
        </w:rPr>
        <w:fldChar w:fldCharType="begin"/>
      </w:r>
      <w:r>
        <w:rPr>
          <w:rFonts w:hint="default" w:ascii="Times New Roman" w:hAnsi="Times New Roman" w:cs="Times New Roman"/>
          <w:b/>
          <w:bCs/>
          <w:i/>
          <w:iCs w:val="0"/>
          <w:sz w:val="20"/>
          <w:szCs w:val="20"/>
          <w:highlight w:val="none"/>
          <w:lang w:val="en-CA"/>
        </w:rPr>
        <w:instrText xml:space="preserve"> SEQ Proposal \* ARABIC </w:instrText>
      </w:r>
      <w:r>
        <w:rPr>
          <w:rFonts w:hint="default" w:ascii="Times New Roman" w:hAnsi="Times New Roman" w:cs="Times New Roman"/>
          <w:b/>
          <w:bCs/>
          <w:i/>
          <w:iCs w:val="0"/>
          <w:sz w:val="20"/>
          <w:szCs w:val="20"/>
          <w:highlight w:val="none"/>
          <w:lang w:val="en-CA"/>
        </w:rPr>
        <w:fldChar w:fldCharType="separate"/>
      </w:r>
      <w:r>
        <w:rPr>
          <w:rFonts w:hint="default" w:ascii="Times New Roman" w:hAnsi="Times New Roman" w:cs="Times New Roman"/>
          <w:b/>
          <w:bCs/>
          <w:i/>
          <w:iCs w:val="0"/>
          <w:sz w:val="20"/>
          <w:szCs w:val="20"/>
          <w:highlight w:val="none"/>
          <w:lang w:val="en-CA"/>
        </w:rPr>
        <w:t>7</w:t>
      </w:r>
      <w:r>
        <w:rPr>
          <w:rFonts w:hint="default" w:ascii="Times New Roman" w:hAnsi="Times New Roman" w:cs="Times New Roman"/>
          <w:b/>
          <w:bCs/>
          <w:i/>
          <w:iCs w:val="0"/>
          <w:sz w:val="20"/>
          <w:szCs w:val="20"/>
          <w:highlight w:val="none"/>
          <w:lang w:val="en-CA"/>
        </w:rPr>
        <w:fldChar w:fldCharType="end"/>
      </w:r>
      <w:r>
        <w:rPr>
          <w:rFonts w:hint="eastAsia" w:ascii="Times New Roman" w:hAnsi="Times New Roman" w:cs="Times New Roman"/>
          <w:b/>
          <w:bCs/>
          <w:i/>
          <w:iCs w:val="0"/>
          <w:sz w:val="20"/>
          <w:szCs w:val="20"/>
          <w:highlight w:val="none"/>
          <w:lang w:val="en-CA"/>
        </w:rPr>
        <w:t>:</w:t>
      </w:r>
      <w:r>
        <w:rPr>
          <w:rFonts w:hint="default" w:ascii="Times New Roman" w:hAnsi="Times New Roman" w:cs="Times New Roman"/>
          <w:b/>
          <w:bCs/>
          <w:i/>
          <w:iCs w:val="0"/>
          <w:sz w:val="20"/>
          <w:szCs w:val="20"/>
          <w:highlight w:val="none"/>
          <w:lang w:val="en-CA"/>
        </w:rPr>
        <w:t xml:space="preserve"> </w:t>
      </w:r>
      <w:r>
        <w:rPr>
          <w:rFonts w:hint="eastAsia" w:ascii="Times New Roman" w:hAnsi="Times New Roman" w:cs="Times New Roman"/>
          <w:b/>
          <w:bCs/>
          <w:i/>
          <w:iCs w:val="0"/>
          <w:sz w:val="20"/>
          <w:szCs w:val="20"/>
          <w:highlight w:val="none"/>
          <w:lang w:val="en-US" w:eastAsia="zh-CN"/>
        </w:rPr>
        <w:t>For UE-based positioning, s</w:t>
      </w:r>
      <w:r>
        <w:rPr>
          <w:rFonts w:hint="default" w:ascii="Times New Roman" w:hAnsi="Times New Roman" w:cs="Times New Roman"/>
          <w:b/>
          <w:bCs/>
          <w:i/>
          <w:iCs w:val="0"/>
          <w:sz w:val="20"/>
          <w:szCs w:val="20"/>
          <w:highlight w:val="none"/>
          <w:lang w:val="en-CA"/>
        </w:rPr>
        <w:t>upport enabling LMF to forward</w:t>
      </w:r>
      <w:r>
        <w:rPr>
          <w:rFonts w:hint="eastAsia" w:ascii="Times New Roman" w:hAnsi="Times New Roman" w:cs="Times New Roman"/>
          <w:b/>
          <w:bCs/>
          <w:i/>
          <w:iCs w:val="0"/>
          <w:sz w:val="20"/>
          <w:szCs w:val="20"/>
          <w:highlight w:val="none"/>
          <w:lang w:val="en-US" w:eastAsia="zh-CN"/>
        </w:rPr>
        <w:t xml:space="preserve"> </w:t>
      </w:r>
      <w:r>
        <w:rPr>
          <w:rFonts w:hint="default" w:ascii="Times New Roman" w:hAnsi="Times New Roman" w:cs="Times New Roman"/>
          <w:b/>
          <w:bCs/>
          <w:i/>
          <w:iCs w:val="0"/>
          <w:sz w:val="20"/>
          <w:szCs w:val="20"/>
          <w:highlight w:val="none"/>
          <w:lang w:val="en-US" w:eastAsia="zh-CN"/>
        </w:rPr>
        <w:t>ARP error and phase error information.</w:t>
      </w:r>
      <w:bookmarkEnd w:id="16"/>
    </w:p>
    <w:p>
      <w:pPr>
        <w:pStyle w:val="3"/>
        <w:snapToGrid w:val="0"/>
        <w:spacing w:line="240" w:lineRule="auto"/>
        <w:rPr>
          <w:rFonts w:hint="eastAsia"/>
          <w:sz w:val="24"/>
          <w:szCs w:val="24"/>
          <w:highlight w:val="none"/>
          <w:lang w:val="en-US"/>
        </w:rPr>
      </w:pPr>
      <w:r>
        <w:rPr>
          <w:rFonts w:hint="eastAsia"/>
          <w:sz w:val="24"/>
          <w:szCs w:val="24"/>
          <w:highlight w:val="none"/>
          <w:lang w:val="en-US" w:eastAsia="zh-CN"/>
        </w:rPr>
        <w:t>Enhancement on i</w:t>
      </w:r>
      <w:r>
        <w:rPr>
          <w:rFonts w:hint="eastAsia"/>
          <w:sz w:val="24"/>
          <w:szCs w:val="24"/>
          <w:highlight w:val="none"/>
          <w:lang w:val="en-US"/>
        </w:rPr>
        <w:t>nteger ambiguity</w:t>
      </w:r>
      <w:r>
        <w:rPr>
          <w:rFonts w:hint="eastAsia"/>
          <w:sz w:val="24"/>
          <w:szCs w:val="24"/>
          <w:highlight w:val="none"/>
          <w:lang w:val="en-US" w:eastAsia="zh-CN"/>
        </w:rPr>
        <w:t xml:space="preserve"> solutions</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 xml:space="preserve">As </w:t>
      </w:r>
      <w:r>
        <w:rPr>
          <w:rFonts w:hint="eastAsia" w:ascii="Times New Roman" w:hAnsi="Times New Roman"/>
          <w:sz w:val="20"/>
          <w:szCs w:val="20"/>
          <w:highlight w:val="none"/>
        </w:rPr>
        <w:t xml:space="preserve">approved </w:t>
      </w:r>
      <w:r>
        <w:rPr>
          <w:rFonts w:ascii="Times New Roman" w:hAnsi="Times New Roman"/>
          <w:sz w:val="20"/>
          <w:szCs w:val="20"/>
          <w:highlight w:val="none"/>
        </w:rPr>
        <w:t>in</w:t>
      </w:r>
      <w:r>
        <w:rPr>
          <w:rFonts w:hint="eastAsia" w:ascii="Times New Roman" w:hAnsi="Times New Roman"/>
          <w:sz w:val="20"/>
          <w:szCs w:val="20"/>
          <w:highlight w:val="none"/>
        </w:rPr>
        <w:t xml:space="preserve"> the</w:t>
      </w:r>
      <w:r>
        <w:rPr>
          <w:rFonts w:ascii="Times New Roman" w:hAnsi="Times New Roman"/>
          <w:sz w:val="20"/>
          <w:szCs w:val="20"/>
          <w:highlight w:val="none"/>
        </w:rPr>
        <w:t xml:space="preserve"> previous </w:t>
      </w:r>
      <w:r>
        <w:rPr>
          <w:rFonts w:hint="eastAsia" w:ascii="Times New Roman" w:hAnsi="Times New Roman" w:eastAsia="宋体"/>
          <w:sz w:val="20"/>
          <w:szCs w:val="20"/>
          <w:highlight w:val="none"/>
        </w:rPr>
        <w:t>3GPP RAN Meeting #98-e</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4</w:t>
      </w:r>
      <w:r>
        <w:rPr>
          <w:rFonts w:hint="eastAsia" w:ascii="Times New Roman" w:hAnsi="Times New Roman"/>
          <w:sz w:val="20"/>
          <w:szCs w:val="20"/>
          <w:highlight w:val="none"/>
        </w:rPr>
        <w:t>]</w:t>
      </w:r>
      <w:r>
        <w:rPr>
          <w:rFonts w:ascii="Times New Roman" w:hAnsi="Times New Roman"/>
          <w:sz w:val="20"/>
          <w:szCs w:val="20"/>
          <w:highlight w:val="none"/>
        </w:rPr>
        <w:t xml:space="preserve">, carrier phase positioning </w:t>
      </w:r>
      <w:r>
        <w:rPr>
          <w:rFonts w:hint="eastAsia" w:ascii="Times New Roman" w:hAnsi="Times New Roman"/>
          <w:sz w:val="20"/>
          <w:szCs w:val="20"/>
          <w:highlight w:val="none"/>
        </w:rPr>
        <w:t xml:space="preserve">is supported in Rel-18 WID, for UE-assisted positioning, </w:t>
      </w:r>
      <w:r>
        <w:rPr>
          <w:rFonts w:hint="eastAsia" w:ascii="Times New Roman" w:hAnsi="Times New Roman" w:eastAsia="宋体"/>
          <w:sz w:val="20"/>
          <w:szCs w:val="20"/>
          <w:highlight w:val="none"/>
        </w:rPr>
        <w:t>e</w:t>
      </w:r>
      <w:r>
        <w:rPr>
          <w:rFonts w:ascii="Times New Roman" w:hAnsi="Times New Roman" w:eastAsia="MS Mincho"/>
          <w:sz w:val="20"/>
          <w:szCs w:val="20"/>
          <w:highlight w:val="none"/>
          <w:lang w:eastAsia="ko-KR"/>
        </w:rPr>
        <w:t>xisting DL PRS</w:t>
      </w:r>
      <w:r>
        <w:rPr>
          <w:rFonts w:hint="eastAsia" w:ascii="Times New Roman" w:hAnsi="Times New Roman" w:eastAsia="宋体"/>
          <w:sz w:val="20"/>
          <w:szCs w:val="20"/>
          <w:highlight w:val="none"/>
        </w:rPr>
        <w:t xml:space="preserve"> is </w:t>
      </w:r>
      <w:r>
        <w:rPr>
          <w:rFonts w:ascii="Times New Roman" w:hAnsi="Times New Roman" w:eastAsia="MS Mincho"/>
          <w:sz w:val="20"/>
          <w:szCs w:val="20"/>
          <w:highlight w:val="none"/>
          <w:lang w:eastAsia="ko-KR"/>
        </w:rPr>
        <w:t>used for carrier phase measurements.</w:t>
      </w:r>
      <w:r>
        <w:rPr>
          <w:rFonts w:hint="eastAsia" w:ascii="Times New Roman" w:hAnsi="Times New Roman" w:eastAsia="宋体"/>
          <w:sz w:val="20"/>
          <w:szCs w:val="20"/>
          <w:highlight w:val="none"/>
        </w:rPr>
        <w:t xml:space="preserve"> For carrier phase positioning, an integer part N and a </w:t>
      </w:r>
      <w:r>
        <w:rPr>
          <w:rFonts w:ascii="Times New Roman" w:hAnsi="Times New Roman"/>
          <w:sz w:val="20"/>
          <w:szCs w:val="20"/>
          <w:highlight w:val="none"/>
        </w:rPr>
        <w:t>fractional part</w:t>
      </w:r>
      <w:r>
        <w:rPr>
          <w:rFonts w:hint="eastAsia" w:ascii="Times New Roman" w:hAnsi="Times New Roman"/>
          <w:sz w:val="20"/>
          <w:szCs w:val="20"/>
          <w:highlight w:val="none"/>
        </w:rPr>
        <w:t xml:space="preserve"> </w:t>
      </w:r>
      <w:r>
        <w:rPr>
          <w:rFonts w:ascii="Times New Roman" w:hAnsi="Times New Roman" w:eastAsia="宋体"/>
          <w:kern w:val="2"/>
          <w:position w:val="-4"/>
          <w:sz w:val="20"/>
          <w:szCs w:val="20"/>
          <w:highlight w:val="none"/>
        </w:rPr>
        <w:t>Φ</w:t>
      </w:r>
      <w:r>
        <w:rPr>
          <w:rFonts w:hint="eastAsia" w:ascii="Times New Roman" w:hAnsi="Times New Roman"/>
          <w:sz w:val="20"/>
          <w:szCs w:val="20"/>
          <w:highlight w:val="none"/>
        </w:rPr>
        <w:t xml:space="preserve"> </w:t>
      </w:r>
      <w:r>
        <w:rPr>
          <w:rFonts w:ascii="Times New Roman" w:hAnsi="Times New Roman"/>
          <w:sz w:val="20"/>
          <w:szCs w:val="20"/>
          <w:highlight w:val="none"/>
        </w:rPr>
        <w:t>of</w:t>
      </w:r>
      <w:r>
        <w:rPr>
          <w:rFonts w:hint="eastAsia" w:ascii="Times New Roman" w:hAnsi="Times New Roman"/>
          <w:sz w:val="20"/>
          <w:szCs w:val="20"/>
          <w:highlight w:val="none"/>
        </w:rPr>
        <w:t xml:space="preserve"> the</w:t>
      </w:r>
      <w:r>
        <w:rPr>
          <w:rFonts w:ascii="Times New Roman" w:hAnsi="Times New Roman"/>
          <w:sz w:val="20"/>
          <w:szCs w:val="20"/>
          <w:highlight w:val="none"/>
        </w:rPr>
        <w:t xml:space="preserve"> carrier phase</w:t>
      </w:r>
      <w:r>
        <w:rPr>
          <w:rFonts w:hint="eastAsia" w:ascii="Times New Roman" w:hAnsi="Times New Roman"/>
          <w:sz w:val="20"/>
          <w:szCs w:val="20"/>
          <w:highlight w:val="none"/>
        </w:rPr>
        <w:t xml:space="preserve"> are required to calculate the target UE</w:t>
      </w:r>
      <w:r>
        <w:rPr>
          <w:rFonts w:ascii="Times New Roman" w:hAnsi="Times New Roman"/>
          <w:sz w:val="20"/>
          <w:szCs w:val="20"/>
          <w:highlight w:val="none"/>
        </w:rPr>
        <w:t>’</w:t>
      </w:r>
      <w:r>
        <w:rPr>
          <w:rFonts w:hint="eastAsia" w:ascii="Times New Roman" w:hAnsi="Times New Roman"/>
          <w:sz w:val="20"/>
          <w:szCs w:val="20"/>
          <w:highlight w:val="none"/>
        </w:rPr>
        <w:t xml:space="preserve">s location. Wherein, the integer part search range </w:t>
      </w:r>
      <w:r>
        <w:rPr>
          <w:rFonts w:ascii="Times New Roman" w:hAnsi="Times New Roman"/>
          <w:sz w:val="20"/>
          <w:szCs w:val="20"/>
          <w:highlight w:val="none"/>
        </w:rPr>
        <w:t>can be deduced from the timing</w:t>
      </w:r>
      <w:r>
        <w:rPr>
          <w:rFonts w:hint="eastAsia" w:ascii="Times New Roman" w:hAnsi="Times New Roman"/>
          <w:sz w:val="20"/>
          <w:szCs w:val="20"/>
          <w:highlight w:val="none"/>
        </w:rPr>
        <w:t>-</w:t>
      </w:r>
      <w:r>
        <w:rPr>
          <w:rFonts w:ascii="Times New Roman" w:hAnsi="Times New Roman"/>
          <w:sz w:val="20"/>
          <w:szCs w:val="20"/>
          <w:highlight w:val="none"/>
        </w:rPr>
        <w:t>based positioning technology</w:t>
      </w:r>
      <w:r>
        <w:rPr>
          <w:rFonts w:hint="eastAsia" w:ascii="Times New Roman" w:hAnsi="Times New Roman"/>
          <w:sz w:val="20"/>
          <w:szCs w:val="20"/>
          <w:highlight w:val="none"/>
        </w:rPr>
        <w:t xml:space="preserve"> if carrier phase positioning is not a standalone positioning method, i.e., carrier phase positioning is executed together with other legacy positioning technologies </w:t>
      </w:r>
      <w:r>
        <w:rPr>
          <w:rFonts w:ascii="Times New Roman" w:hAnsi="Times New Roman"/>
          <w:sz w:val="20"/>
          <w:szCs w:val="20"/>
          <w:highlight w:val="none"/>
        </w:rPr>
        <w:t>(such as TDOA)</w:t>
      </w:r>
      <w:r>
        <w:rPr>
          <w:rFonts w:hint="eastAsia" w:ascii="Times New Roman" w:hAnsi="Times New Roman"/>
          <w:sz w:val="20"/>
          <w:szCs w:val="20"/>
          <w:highlight w:val="none"/>
        </w:rPr>
        <w:t xml:space="preserve">, and the </w:t>
      </w:r>
      <w:r>
        <w:rPr>
          <w:rFonts w:ascii="Times New Roman" w:hAnsi="Times New Roman"/>
          <w:sz w:val="20"/>
          <w:szCs w:val="20"/>
          <w:highlight w:val="none"/>
        </w:rPr>
        <w:t>fractional part</w:t>
      </w:r>
      <w:r>
        <w:rPr>
          <w:rFonts w:hint="eastAsia" w:ascii="Times New Roman" w:hAnsi="Times New Roman"/>
          <w:sz w:val="20"/>
          <w:szCs w:val="20"/>
          <w:highlight w:val="none"/>
        </w:rPr>
        <w:t xml:space="preserve"> </w:t>
      </w:r>
      <w:r>
        <w:rPr>
          <w:rFonts w:ascii="Times New Roman" w:hAnsi="Times New Roman" w:eastAsia="宋体"/>
          <w:kern w:val="2"/>
          <w:position w:val="-4"/>
          <w:sz w:val="20"/>
          <w:szCs w:val="20"/>
          <w:highlight w:val="none"/>
        </w:rPr>
        <w:t>Φ</w:t>
      </w:r>
      <w:r>
        <w:rPr>
          <w:rFonts w:hint="eastAsia" w:ascii="Times New Roman" w:hAnsi="Times New Roman" w:eastAsia="宋体"/>
          <w:kern w:val="2"/>
          <w:position w:val="-4"/>
          <w:sz w:val="20"/>
          <w:szCs w:val="20"/>
          <w:highlight w:val="none"/>
        </w:rPr>
        <w:t xml:space="preserve"> </w:t>
      </w:r>
      <w:r>
        <w:rPr>
          <w:rFonts w:hint="eastAsia" w:ascii="Times New Roman" w:hAnsi="Times New Roman"/>
          <w:sz w:val="20"/>
          <w:szCs w:val="20"/>
          <w:highlight w:val="none"/>
        </w:rPr>
        <w:t>is the c</w:t>
      </w:r>
      <w:r>
        <w:rPr>
          <w:rFonts w:ascii="Times New Roman" w:hAnsi="Times New Roman"/>
          <w:sz w:val="20"/>
          <w:szCs w:val="20"/>
          <w:highlight w:val="none"/>
        </w:rPr>
        <w:t>arrier phase</w:t>
      </w:r>
      <w:r>
        <w:rPr>
          <w:rFonts w:hint="eastAsia" w:ascii="Times New Roman" w:hAnsi="Times New Roman"/>
          <w:sz w:val="20"/>
          <w:szCs w:val="20"/>
          <w:highlight w:val="none"/>
        </w:rPr>
        <w:t xml:space="preserve"> measured by the receiver</w:t>
      </w:r>
      <w:r>
        <w:rPr>
          <w:rFonts w:ascii="Times New Roman" w:hAnsi="Times New Roman"/>
          <w:sz w:val="20"/>
          <w:szCs w:val="20"/>
          <w:highlight w:val="none"/>
        </w:rPr>
        <w:t xml:space="preserve"> (e.g., </w:t>
      </w:r>
      <w:r>
        <w:rPr>
          <w:rFonts w:hint="eastAsia" w:ascii="Times New Roman" w:hAnsi="Times New Roman"/>
          <w:sz w:val="20"/>
          <w:szCs w:val="20"/>
          <w:highlight w:val="none"/>
        </w:rPr>
        <w:t>in</w:t>
      </w:r>
      <w:r>
        <w:rPr>
          <w:rFonts w:ascii="Times New Roman" w:hAnsi="Times New Roman"/>
          <w:sz w:val="20"/>
          <w:szCs w:val="20"/>
          <w:highlight w:val="none"/>
        </w:rPr>
        <w:t xml:space="preserve"> the time domain or frequency domain based on the existing PRS</w:t>
      </w:r>
      <w:r>
        <w:rPr>
          <w:rFonts w:hint="eastAsia" w:ascii="Times New Roman" w:hAnsi="Times New Roman"/>
          <w:sz w:val="20"/>
          <w:szCs w:val="20"/>
          <w:highlight w:val="none"/>
        </w:rPr>
        <w:t>/SRS</w:t>
      </w:r>
      <w:r>
        <w:rPr>
          <w:rFonts w:ascii="Times New Roman" w:hAnsi="Times New Roman"/>
          <w:sz w:val="20"/>
          <w:szCs w:val="20"/>
          <w:highlight w:val="none"/>
        </w:rPr>
        <w:t>)</w:t>
      </w:r>
      <w:r>
        <w:rPr>
          <w:rFonts w:hint="eastAsia" w:ascii="Times New Roman" w:hAnsi="Times New Roman"/>
          <w:sz w:val="20"/>
          <w:szCs w:val="20"/>
          <w:highlight w:val="none"/>
        </w:rPr>
        <w:t xml:space="preserve">. </w:t>
      </w:r>
    </w:p>
    <w:p>
      <w:pPr>
        <w:pStyle w:val="96"/>
        <w:snapToGrid w:val="0"/>
        <w:spacing w:before="180" w:beforeLines="50" w:afterLines="50" w:line="240" w:lineRule="auto"/>
        <w:ind w:left="0"/>
        <w:jc w:val="both"/>
        <w:rPr>
          <w:sz w:val="20"/>
          <w:highlight w:val="none"/>
        </w:rPr>
      </w:pPr>
      <w:r>
        <w:rPr>
          <w:sz w:val="20"/>
          <w:highlight w:val="none"/>
          <w:lang w:eastAsia="zh-CN"/>
        </w:rPr>
        <w:t xml:space="preserve">In our </w:t>
      </w:r>
      <w:r>
        <w:rPr>
          <w:rFonts w:hint="eastAsia"/>
          <w:sz w:val="20"/>
          <w:highlight w:val="none"/>
          <w:lang w:eastAsia="zh-CN"/>
        </w:rPr>
        <w:t xml:space="preserve">previous </w:t>
      </w:r>
      <w:r>
        <w:rPr>
          <w:sz w:val="20"/>
          <w:highlight w:val="none"/>
          <w:lang w:eastAsia="zh-CN"/>
        </w:rPr>
        <w:t>contributions</w:t>
      </w:r>
      <w:r>
        <w:rPr>
          <w:rFonts w:hint="eastAsia"/>
          <w:sz w:val="20"/>
          <w:highlight w:val="none"/>
          <w:lang w:eastAsia="zh-CN"/>
        </w:rPr>
        <w:t xml:space="preserve"> [</w:t>
      </w:r>
      <w:r>
        <w:rPr>
          <w:rFonts w:hint="eastAsia"/>
          <w:sz w:val="20"/>
          <w:highlight w:val="none"/>
          <w:lang w:val="en-US" w:eastAsia="zh-CN"/>
        </w:rPr>
        <w:t>5,6</w:t>
      </w:r>
      <w:r>
        <w:rPr>
          <w:rFonts w:hint="eastAsia"/>
          <w:sz w:val="20"/>
          <w:highlight w:val="none"/>
          <w:lang w:eastAsia="zh-CN"/>
        </w:rPr>
        <w:t>]</w:t>
      </w:r>
      <w:r>
        <w:rPr>
          <w:sz w:val="20"/>
          <w:highlight w:val="none"/>
          <w:lang w:eastAsia="zh-CN"/>
        </w:rPr>
        <w:t>, it</w:t>
      </w:r>
      <w:r>
        <w:rPr>
          <w:rFonts w:hint="eastAsia"/>
          <w:sz w:val="20"/>
          <w:highlight w:val="none"/>
          <w:lang w:eastAsia="zh-CN"/>
        </w:rPr>
        <w:t xml:space="preserve"> is proved that t</w:t>
      </w:r>
      <w:r>
        <w:rPr>
          <w:sz w:val="20"/>
          <w:highlight w:val="none"/>
        </w:rPr>
        <w:t>he integer search</w:t>
      </w:r>
      <w:r>
        <w:rPr>
          <w:rFonts w:hint="eastAsia"/>
          <w:sz w:val="20"/>
          <w:highlight w:val="none"/>
          <w:lang w:eastAsia="zh-CN"/>
        </w:rPr>
        <w:t xml:space="preserve"> procedure</w:t>
      </w:r>
      <w:r>
        <w:rPr>
          <w:sz w:val="20"/>
          <w:highlight w:val="none"/>
        </w:rPr>
        <w:t xml:space="preserve"> is time</w:t>
      </w:r>
      <w:r>
        <w:rPr>
          <w:rFonts w:hint="eastAsia"/>
          <w:sz w:val="20"/>
          <w:highlight w:val="none"/>
          <w:lang w:eastAsia="zh-CN"/>
        </w:rPr>
        <w:t>-</w:t>
      </w:r>
      <w:r>
        <w:rPr>
          <w:sz w:val="20"/>
          <w:highlight w:val="none"/>
        </w:rPr>
        <w:t>consuming</w:t>
      </w:r>
      <w:r>
        <w:rPr>
          <w:rFonts w:hint="eastAsia"/>
          <w:sz w:val="20"/>
          <w:highlight w:val="none"/>
          <w:lang w:eastAsia="zh-CN"/>
        </w:rPr>
        <w:t xml:space="preserve"> especially when the integer ambiguity exceeds a certain level, which heavily affects the positioning performance</w:t>
      </w:r>
      <w:r>
        <w:rPr>
          <w:sz w:val="20"/>
          <w:highlight w:val="none"/>
        </w:rPr>
        <w:t xml:space="preserve">. </w:t>
      </w:r>
      <w:r>
        <w:rPr>
          <w:rFonts w:hint="eastAsia"/>
          <w:sz w:val="20"/>
          <w:highlight w:val="none"/>
          <w:lang w:eastAsia="zh-CN"/>
        </w:rPr>
        <w:t>Taking this into consideration, i</w:t>
      </w:r>
      <w:r>
        <w:rPr>
          <w:sz w:val="20"/>
          <w:highlight w:val="none"/>
        </w:rPr>
        <w:t xml:space="preserve">t </w:t>
      </w:r>
      <w:r>
        <w:rPr>
          <w:rFonts w:hint="eastAsia"/>
          <w:sz w:val="20"/>
          <w:highlight w:val="none"/>
          <w:lang w:eastAsia="zh-CN"/>
        </w:rPr>
        <w:t>would be beneficial if</w:t>
      </w:r>
      <w:r>
        <w:rPr>
          <w:sz w:val="20"/>
          <w:highlight w:val="none"/>
        </w:rPr>
        <w:t xml:space="preserve"> </w:t>
      </w:r>
      <w:r>
        <w:rPr>
          <w:rFonts w:hint="eastAsia"/>
          <w:sz w:val="20"/>
          <w:highlight w:val="none"/>
          <w:lang w:eastAsia="zh-CN"/>
        </w:rPr>
        <w:t xml:space="preserve">the </w:t>
      </w:r>
      <w:r>
        <w:rPr>
          <w:sz w:val="20"/>
          <w:highlight w:val="none"/>
        </w:rPr>
        <w:t>network suggests an initial</w:t>
      </w:r>
      <w:r>
        <w:rPr>
          <w:rFonts w:hint="eastAsia"/>
          <w:sz w:val="20"/>
          <w:highlight w:val="none"/>
          <w:lang w:eastAsia="zh-CN"/>
        </w:rPr>
        <w:t xml:space="preserve"> </w:t>
      </w:r>
      <w:r>
        <w:rPr>
          <w:sz w:val="20"/>
          <w:highlight w:val="none"/>
        </w:rPr>
        <w:t xml:space="preserve">location to determine the scope of integer N. </w:t>
      </w:r>
      <w:r>
        <w:rPr>
          <w:rFonts w:hint="eastAsia"/>
          <w:sz w:val="20"/>
          <w:highlight w:val="none"/>
          <w:lang w:eastAsia="zh-CN"/>
        </w:rPr>
        <w:t>For UE-based or NG-RAN node-assisted positioning, if LMF can get UE</w:t>
      </w:r>
      <w:r>
        <w:rPr>
          <w:sz w:val="20"/>
          <w:highlight w:val="none"/>
          <w:lang w:eastAsia="zh-CN"/>
        </w:rPr>
        <w:t>’</w:t>
      </w:r>
      <w:r>
        <w:rPr>
          <w:rFonts w:hint="eastAsia"/>
          <w:sz w:val="20"/>
          <w:highlight w:val="none"/>
          <w:lang w:eastAsia="zh-CN"/>
        </w:rPr>
        <w:t xml:space="preserve">s rough location, </w:t>
      </w:r>
      <w:r>
        <w:rPr>
          <w:rFonts w:hint="eastAsia"/>
          <w:sz w:val="20"/>
          <w:highlight w:val="none"/>
          <w:lang w:val="en-US" w:eastAsia="zh-CN"/>
        </w:rPr>
        <w:t xml:space="preserve">e.g. based on the previous measurement results or RAT-independent methods, </w:t>
      </w:r>
      <w:r>
        <w:rPr>
          <w:rFonts w:hint="eastAsia"/>
          <w:sz w:val="20"/>
          <w:highlight w:val="none"/>
          <w:lang w:eastAsia="zh-CN"/>
        </w:rPr>
        <w:t>a proper range of N values can be informed to UE, further improving the positioning performance.</w:t>
      </w:r>
      <w:r>
        <w:rPr>
          <w:sz w:val="20"/>
          <w:highlight w:val="none"/>
        </w:rPr>
        <w:t xml:space="preserve"> </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the integer ambiguity problem, </w:t>
      </w:r>
      <w:r>
        <w:rPr>
          <w:rFonts w:ascii="Times New Roman" w:hAnsi="Times New Roman" w:eastAsia="宋体"/>
          <w:sz w:val="20"/>
          <w:szCs w:val="20"/>
          <w:highlight w:val="none"/>
        </w:rPr>
        <w:t xml:space="preserve">the following </w:t>
      </w:r>
      <w:r>
        <w:rPr>
          <w:rFonts w:hint="eastAsia" w:ascii="Times New Roman" w:hAnsi="Times New Roman" w:eastAsia="宋体"/>
          <w:sz w:val="20"/>
          <w:szCs w:val="20"/>
          <w:highlight w:val="none"/>
        </w:rPr>
        <w:t>agreement was achieved in 3GPP TSG RAN WG1#112 [</w:t>
      </w:r>
      <w:r>
        <w:rPr>
          <w:rFonts w:hint="eastAsia" w:ascii="Times New Roman" w:hAnsi="Times New Roman" w:eastAsia="宋体"/>
          <w:sz w:val="20"/>
          <w:szCs w:val="20"/>
          <w:highlight w:val="none"/>
          <w:lang w:val="en-US" w:eastAsia="zh-CN"/>
        </w:rPr>
        <w:t>7</w:t>
      </w:r>
      <w:r>
        <w:rPr>
          <w:rFonts w:hint="eastAsia" w:ascii="Times New Roman" w:hAnsi="Times New Roman" w:eastAsia="宋体"/>
          <w:sz w:val="20"/>
          <w:szCs w:val="20"/>
          <w:highlight w:val="none"/>
        </w:rPr>
        <w:t>] (there was no agreement in 3GPP TSG RAN WG1#112bis-e, further discussion is required</w:t>
      </w:r>
      <w:r>
        <w:rPr>
          <w:rFonts w:hint="eastAsia" w:ascii="Times New Roman" w:hAnsi="Times New Roman" w:eastAsia="宋体"/>
          <w:sz w:val="20"/>
          <w:szCs w:val="20"/>
          <w:highlight w:val="none"/>
          <w:lang w:val="en-US" w:eastAsia="zh-CN"/>
        </w:rPr>
        <w:t>)</w:t>
      </w:r>
      <w:r>
        <w:rPr>
          <w:rFonts w:hint="eastAsia" w:ascii="Times New Roman" w:hAnsi="Times New Roman" w:eastAsia="宋体"/>
          <w:sz w:val="20"/>
          <w:szCs w:val="20"/>
          <w:highlight w:val="none"/>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highlight w:val="none"/>
                <w:u w:val="single"/>
              </w:rPr>
            </w:pPr>
            <w:r>
              <w:rPr>
                <w:rFonts w:ascii="Times New Roman" w:hAnsi="Times New Roman"/>
                <w:b/>
                <w:sz w:val="20"/>
                <w:szCs w:val="20"/>
                <w:highlight w:val="none"/>
                <w:u w:val="single"/>
              </w:rPr>
              <w:t>Agreement</w:t>
            </w:r>
          </w:p>
          <w:p>
            <w:pPr>
              <w:adjustRightInd w:val="0"/>
              <w:snapToGrid w:val="0"/>
              <w:spacing w:after="180" w:afterLines="50" w:line="240" w:lineRule="auto"/>
              <w:rPr>
                <w:rFonts w:ascii="Times New Roman" w:hAnsi="Times New Roman"/>
                <w:sz w:val="20"/>
                <w:szCs w:val="20"/>
                <w:highlight w:val="none"/>
              </w:rPr>
            </w:pPr>
            <w:r>
              <w:rPr>
                <w:rFonts w:ascii="Times New Roman" w:hAnsi="Times New Roman"/>
                <w:bCs/>
                <w:sz w:val="20"/>
                <w:szCs w:val="20"/>
                <w:highlight w:val="none"/>
              </w:rPr>
              <w:t>To support NR carrier phase positioning, further consider the following</w:t>
            </w:r>
            <w:r>
              <w:rPr>
                <w:rFonts w:ascii="Times New Roman" w:hAnsi="Times New Roman"/>
                <w:sz w:val="20"/>
                <w:szCs w:val="20"/>
                <w:highlight w:val="none"/>
              </w:rPr>
              <w:t xml:space="preserve"> options:</w:t>
            </w:r>
          </w:p>
          <w:p>
            <w:pPr>
              <w:pStyle w:val="86"/>
              <w:numPr>
                <w:ilvl w:val="0"/>
                <w:numId w:val="12"/>
              </w:numPr>
              <w:adjustRightInd w:val="0"/>
              <w:snapToGrid w:val="0"/>
              <w:spacing w:after="180" w:afterLines="50" w:line="240" w:lineRule="auto"/>
              <w:rPr>
                <w:rFonts w:ascii="Times New Roman" w:hAnsi="Times New Roman"/>
                <w:sz w:val="20"/>
                <w:szCs w:val="20"/>
                <w:highlight w:val="none"/>
              </w:rPr>
            </w:pPr>
            <w:r>
              <w:rPr>
                <w:rFonts w:ascii="Times New Roman" w:hAnsi="Times New Roman"/>
                <w:sz w:val="20"/>
                <w:szCs w:val="20"/>
                <w:highlight w:val="none"/>
              </w:rPr>
              <w:t>Option 1: Support a UE/TRP to report the carrier phase measurements of more than one frequency within a PFL/carrier to LMF</w:t>
            </w:r>
          </w:p>
          <w:p>
            <w:pPr>
              <w:pStyle w:val="81"/>
              <w:numPr>
                <w:ilvl w:val="1"/>
                <w:numId w:val="12"/>
              </w:numPr>
              <w:adjustRightInd w:val="0"/>
              <w:snapToGrid w:val="0"/>
              <w:spacing w:afterLines="50"/>
              <w:rPr>
                <w:highlight w:val="none"/>
              </w:rPr>
            </w:pPr>
            <w:r>
              <w:rPr>
                <w:highlight w:val="none"/>
              </w:rPr>
              <w:t>NOTE: the frequency can be the carrier frequency or the frequency of a subcarrier</w:t>
            </w:r>
          </w:p>
          <w:p>
            <w:pPr>
              <w:pStyle w:val="81"/>
              <w:numPr>
                <w:ilvl w:val="1"/>
                <w:numId w:val="12"/>
              </w:numPr>
              <w:adjustRightInd w:val="0"/>
              <w:snapToGrid w:val="0"/>
              <w:spacing w:afterLines="50"/>
              <w:rPr>
                <w:highlight w:val="none"/>
              </w:rPr>
            </w:pPr>
            <w:r>
              <w:rPr>
                <w:highlight w:val="none"/>
              </w:rPr>
              <w:t>FFS: the details of reporting, e.g., the maximum number of reported frequencies within a PFL/ carrier</w:t>
            </w:r>
          </w:p>
          <w:p>
            <w:pPr>
              <w:pStyle w:val="86"/>
              <w:numPr>
                <w:ilvl w:val="0"/>
                <w:numId w:val="12"/>
              </w:numPr>
              <w:adjustRightInd w:val="0"/>
              <w:snapToGrid w:val="0"/>
              <w:spacing w:after="180" w:afterLines="50" w:line="240" w:lineRule="auto"/>
              <w:rPr>
                <w:rFonts w:ascii="Times New Roman" w:hAnsi="Times New Roman"/>
                <w:sz w:val="20"/>
                <w:szCs w:val="20"/>
                <w:highlight w:val="none"/>
              </w:rPr>
            </w:pPr>
            <w:r>
              <w:rPr>
                <w:rFonts w:ascii="Times New Roman" w:hAnsi="Times New Roman"/>
                <w:sz w:val="20"/>
                <w:szCs w:val="20"/>
                <w:highlight w:val="none"/>
              </w:rPr>
              <w:t>Option 2: Introduce and report a</w:t>
            </w:r>
            <w:r>
              <w:rPr>
                <w:rFonts w:ascii="Times New Roman" w:hAnsi="Times New Roman" w:eastAsia="Batang"/>
                <w:sz w:val="20"/>
                <w:szCs w:val="20"/>
                <w:highlight w:val="none"/>
              </w:rPr>
              <w:t xml:space="preserve"> new type of UE/TRP </w:t>
            </w:r>
            <w:r>
              <w:rPr>
                <w:rFonts w:ascii="Times New Roman" w:hAnsi="Times New Roman"/>
                <w:sz w:val="20"/>
                <w:szCs w:val="20"/>
                <w:highlight w:val="none"/>
              </w:rPr>
              <w:t>measurement</w:t>
            </w:r>
            <w:r>
              <w:rPr>
                <w:rFonts w:ascii="Times New Roman" w:hAnsi="Times New Roman" w:eastAsia="Batang"/>
                <w:sz w:val="20"/>
                <w:szCs w:val="20"/>
                <w:highlight w:val="none"/>
              </w:rPr>
              <w:t xml:space="preserve"> based on carrier phase differentials across multiple subcarriers within a PFL/carrier</w:t>
            </w:r>
          </w:p>
          <w:p>
            <w:pPr>
              <w:pStyle w:val="81"/>
              <w:numPr>
                <w:ilvl w:val="1"/>
                <w:numId w:val="12"/>
              </w:numPr>
              <w:adjustRightInd w:val="0"/>
              <w:snapToGrid w:val="0"/>
              <w:spacing w:afterLines="50"/>
              <w:rPr>
                <w:highlight w:val="none"/>
              </w:rPr>
            </w:pPr>
            <w:r>
              <w:rPr>
                <w:highlight w:val="none"/>
              </w:rPr>
              <w:t xml:space="preserve">NOTE: </w:t>
            </w:r>
            <w:r>
              <w:rPr>
                <w:rFonts w:eastAsia="Batang"/>
                <w:highlight w:val="none"/>
              </w:rPr>
              <w:t>carrier</w:t>
            </w:r>
            <w:r>
              <w:rPr>
                <w:highlight w:val="none"/>
              </w:rPr>
              <w:t xml:space="preserve"> phase differentials across multiple subcarriers within a carrier can be related to time of arrival</w:t>
            </w:r>
          </w:p>
          <w:p>
            <w:pPr>
              <w:pStyle w:val="86"/>
              <w:numPr>
                <w:ilvl w:val="0"/>
                <w:numId w:val="12"/>
              </w:numPr>
              <w:adjustRightInd w:val="0"/>
              <w:snapToGrid w:val="0"/>
              <w:spacing w:after="180" w:afterLines="50" w:line="240" w:lineRule="auto"/>
              <w:rPr>
                <w:rFonts w:ascii="Times New Roman" w:hAnsi="Times New Roman" w:eastAsia="Batang"/>
                <w:bCs/>
                <w:sz w:val="20"/>
                <w:szCs w:val="20"/>
                <w:highlight w:val="none"/>
              </w:rPr>
            </w:pPr>
            <w:r>
              <w:rPr>
                <w:rFonts w:ascii="Times New Roman" w:hAnsi="Times New Roman"/>
                <w:sz w:val="20"/>
                <w:szCs w:val="20"/>
                <w:highlight w:val="none"/>
              </w:rPr>
              <w:t xml:space="preserve">Option 3: Support a UE/TRP to optionally report an estimated </w:t>
            </w:r>
            <w:r>
              <w:rPr>
                <w:rFonts w:ascii="Times New Roman" w:hAnsi="Times New Roman" w:eastAsia="Batang"/>
                <w:bCs/>
                <w:sz w:val="20"/>
                <w:szCs w:val="20"/>
                <w:highlight w:val="none"/>
              </w:rPr>
              <w:t>integer ambiguity and/or search range of the integer ambiguity to LMF</w:t>
            </w:r>
            <w:r>
              <w:rPr>
                <w:rFonts w:hint="eastAsia" w:ascii="Times New Roman" w:hAnsi="Times New Roman" w:eastAsia="宋体"/>
                <w:bCs/>
                <w:sz w:val="20"/>
                <w:szCs w:val="20"/>
                <w:highlight w:val="none"/>
              </w:rPr>
              <w:t>.</w:t>
            </w:r>
          </w:p>
          <w:p>
            <w:pPr>
              <w:pStyle w:val="96"/>
              <w:numPr>
                <w:ilvl w:val="0"/>
                <w:numId w:val="12"/>
              </w:numPr>
              <w:snapToGrid w:val="0"/>
              <w:spacing w:afterLines="50" w:line="240" w:lineRule="auto"/>
              <w:rPr>
                <w:highlight w:val="none"/>
              </w:rPr>
            </w:pPr>
            <w:r>
              <w:rPr>
                <w:sz w:val="20"/>
                <w:highlight w:val="none"/>
              </w:rPr>
              <w:t>Option 4: Support LMF to provide the expected integer ambiguity range at least for UE-based NR CPP in the positioning assistance data.</w:t>
            </w:r>
          </w:p>
        </w:tc>
      </w:tr>
    </w:tbl>
    <w:p>
      <w:pPr>
        <w:pStyle w:val="4"/>
        <w:numPr>
          <w:ilvl w:val="1"/>
          <w:numId w:val="0"/>
        </w:numPr>
        <w:ind w:left="220" w:leftChars="100"/>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rPr>
        <w:t>2.</w:t>
      </w:r>
      <w:r>
        <w:rPr>
          <w:rFonts w:hint="eastAsia" w:ascii="Times New Roman" w:hAnsi="Times New Roman" w:cs="Times New Roman"/>
          <w:b/>
          <w:bCs/>
          <w:highlight w:val="none"/>
          <w:lang w:val="en-US" w:eastAsia="zh-CN"/>
        </w:rPr>
        <w:t>4</w:t>
      </w:r>
      <w:r>
        <w:rPr>
          <w:rFonts w:hint="eastAsia" w:ascii="Times New Roman" w:hAnsi="Times New Roman" w:cs="Times New Roman"/>
          <w:b/>
          <w:bCs/>
          <w:highlight w:val="none"/>
          <w:lang w:val="en-US"/>
        </w:rPr>
        <w:t xml:space="preserve">.1 </w:t>
      </w:r>
      <w:r>
        <w:rPr>
          <w:rFonts w:hint="eastAsia" w:ascii="Times New Roman" w:hAnsi="Times New Roman" w:cs="Times New Roman"/>
          <w:b/>
          <w:bCs/>
          <w:highlight w:val="none"/>
          <w:lang w:val="en-US" w:eastAsia="zh-CN"/>
        </w:rPr>
        <w:t>Multi-frequencies carrier phase measurement</w:t>
      </w:r>
    </w:p>
    <w:p>
      <w:pPr>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As described in our previous contributions [</w:t>
      </w:r>
      <w:r>
        <w:rPr>
          <w:rFonts w:hint="eastAsia" w:ascii="Times New Roman" w:hAnsi="Times New Roman"/>
          <w:sz w:val="20"/>
          <w:szCs w:val="20"/>
          <w:highlight w:val="none"/>
          <w:lang w:val="en-US" w:eastAsia="zh-CN"/>
        </w:rPr>
        <w:t>5,6</w:t>
      </w:r>
      <w:r>
        <w:rPr>
          <w:rFonts w:hint="eastAsia" w:ascii="Times New Roman" w:hAnsi="Times New Roman"/>
          <w:sz w:val="20"/>
          <w:szCs w:val="20"/>
          <w:highlight w:val="none"/>
        </w:rPr>
        <w:t xml:space="preserve">], the carrier phase estimation error, PCO, ARP error, etc., may affect the carrier phase positioning accuracy. Single carrier phase measurement may result in some accidental errors/positioning errors, further deteriorating the positioning performance. The simulation results in our previous contributions show that reporting the carrier phase measurement result from multiple sub-carriers in one carrier/PFL can improve performance compared with TDOA concerning the initial random phase. And dual differential carrier phase can mitigate the positioning side effects brought by ARP error. All of these verified that multiple-phase measurement is beneficial for improving positioning accuracy. </w: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From another perspective, in the carrier phase positioning procedure, e</w:t>
      </w:r>
      <w:r>
        <w:rPr>
          <w:rFonts w:ascii="Times New Roman" w:hAnsi="Times New Roman"/>
          <w:sz w:val="20"/>
          <w:szCs w:val="20"/>
          <w:highlight w:val="none"/>
        </w:rPr>
        <w:t xml:space="preserve">ach sub-carrier has its own carrier phase (Φ, fractional part). The </w:t>
      </w:r>
      <w:r>
        <w:rPr>
          <w:rFonts w:hint="eastAsia" w:ascii="Times New Roman" w:hAnsi="Times New Roman"/>
          <w:sz w:val="20"/>
          <w:szCs w:val="20"/>
          <w:highlight w:val="none"/>
        </w:rPr>
        <w:t xml:space="preserve">carrier phase </w:t>
      </w:r>
      <w:r>
        <w:rPr>
          <w:rFonts w:ascii="Times New Roman" w:hAnsi="Times New Roman"/>
          <w:sz w:val="20"/>
          <w:szCs w:val="20"/>
          <w:highlight w:val="none"/>
        </w:rPr>
        <w:t>of the cent</w:t>
      </w:r>
      <w:r>
        <w:rPr>
          <w:rFonts w:hint="eastAsia" w:ascii="Times New Roman" w:hAnsi="Times New Roman"/>
          <w:sz w:val="20"/>
          <w:szCs w:val="20"/>
          <w:highlight w:val="none"/>
        </w:rPr>
        <w:t>re</w:t>
      </w:r>
      <w:r>
        <w:rPr>
          <w:rFonts w:ascii="Times New Roman" w:hAnsi="Times New Roman"/>
          <w:sz w:val="20"/>
          <w:szCs w:val="20"/>
          <w:highlight w:val="none"/>
        </w:rPr>
        <w:t xml:space="preserve"> sub-carrier </w:t>
      </w:r>
      <w:r>
        <w:rPr>
          <w:rFonts w:hint="eastAsia" w:ascii="Times New Roman" w:hAnsi="Times New Roman"/>
          <w:sz w:val="20"/>
          <w:szCs w:val="20"/>
          <w:highlight w:val="none"/>
        </w:rPr>
        <w:t xml:space="preserve">could </w:t>
      </w:r>
      <w:r>
        <w:rPr>
          <w:rFonts w:ascii="Times New Roman" w:hAnsi="Times New Roman"/>
          <w:sz w:val="20"/>
          <w:szCs w:val="20"/>
          <w:highlight w:val="none"/>
        </w:rPr>
        <w:t xml:space="preserve">represent </w:t>
      </w:r>
      <w:r>
        <w:rPr>
          <w:rFonts w:hint="eastAsia" w:ascii="Times New Roman" w:hAnsi="Times New Roman"/>
          <w:sz w:val="20"/>
          <w:szCs w:val="20"/>
          <w:highlight w:val="none"/>
        </w:rPr>
        <w:t xml:space="preserve">the carrier phase </w:t>
      </w:r>
      <w:r>
        <w:rPr>
          <w:rFonts w:ascii="Times New Roman" w:hAnsi="Times New Roman"/>
          <w:sz w:val="20"/>
          <w:szCs w:val="20"/>
          <w:highlight w:val="none"/>
        </w:rPr>
        <w:t>of the whole carrier</w:t>
      </w:r>
      <w:r>
        <w:rPr>
          <w:rFonts w:hint="eastAsia" w:ascii="Times New Roman" w:hAnsi="Times New Roman"/>
          <w:sz w:val="20"/>
          <w:szCs w:val="20"/>
          <w:highlight w:val="none"/>
        </w:rPr>
        <w:t>/PFL</w:t>
      </w:r>
      <w:r>
        <w:rPr>
          <w:rFonts w:ascii="Times New Roman" w:hAnsi="Times New Roman"/>
          <w:sz w:val="20"/>
          <w:szCs w:val="20"/>
          <w:highlight w:val="none"/>
        </w:rPr>
        <w:t>.</w:t>
      </w:r>
      <w:r>
        <w:rPr>
          <w:rFonts w:hint="eastAsia" w:ascii="Times New Roman" w:hAnsi="Times New Roman"/>
          <w:sz w:val="20"/>
          <w:szCs w:val="20"/>
          <w:highlight w:val="none"/>
        </w:rPr>
        <w:t xml:space="preserve"> To support multiple sub-carrier phase measurements, a</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positioning carrier/PFL </w:t>
      </w:r>
      <w:r>
        <w:rPr>
          <w:rFonts w:ascii="Times New Roman" w:hAnsi="Times New Roman"/>
          <w:sz w:val="20"/>
          <w:szCs w:val="20"/>
          <w:highlight w:val="none"/>
        </w:rPr>
        <w:t xml:space="preserve">can be divided into several </w:t>
      </w:r>
      <w:r>
        <w:rPr>
          <w:rFonts w:hint="eastAsia" w:ascii="Times New Roman" w:hAnsi="Times New Roman"/>
          <w:sz w:val="20"/>
          <w:szCs w:val="20"/>
          <w:highlight w:val="none"/>
        </w:rPr>
        <w:t>segments, and e</w:t>
      </w:r>
      <w:r>
        <w:rPr>
          <w:rFonts w:ascii="Times New Roman" w:hAnsi="Times New Roman"/>
          <w:sz w:val="20"/>
          <w:szCs w:val="20"/>
          <w:highlight w:val="none"/>
        </w:rPr>
        <w:t xml:space="preserve">ach </w:t>
      </w:r>
      <w:r>
        <w:rPr>
          <w:rFonts w:hint="eastAsia" w:ascii="Times New Roman" w:hAnsi="Times New Roman"/>
          <w:sz w:val="20"/>
          <w:szCs w:val="20"/>
          <w:highlight w:val="none"/>
        </w:rPr>
        <w:t xml:space="preserve">segment could </w:t>
      </w:r>
      <w:r>
        <w:rPr>
          <w:rFonts w:ascii="Times New Roman" w:hAnsi="Times New Roman"/>
          <w:sz w:val="20"/>
          <w:szCs w:val="20"/>
          <w:highlight w:val="none"/>
        </w:rPr>
        <w:t xml:space="preserve">have its own carrier phase. </w:t>
      </w:r>
      <w:r>
        <w:rPr>
          <w:rFonts w:hint="eastAsia" w:ascii="Times New Roman" w:hAnsi="Times New Roman"/>
          <w:sz w:val="20"/>
          <w:szCs w:val="20"/>
          <w:highlight w:val="none"/>
        </w:rPr>
        <w:t>Through the theoretical analysis in [</w:t>
      </w:r>
      <w:r>
        <w:rPr>
          <w:rFonts w:hint="eastAsia" w:ascii="Times New Roman" w:hAnsi="Times New Roman"/>
          <w:sz w:val="20"/>
          <w:szCs w:val="20"/>
          <w:highlight w:val="none"/>
          <w:lang w:val="en-US" w:eastAsia="zh-CN"/>
        </w:rPr>
        <w:t>6</w:t>
      </w:r>
      <w:r>
        <w:rPr>
          <w:rFonts w:hint="eastAsia" w:ascii="Times New Roman" w:hAnsi="Times New Roman"/>
          <w:sz w:val="20"/>
          <w:szCs w:val="20"/>
          <w:highlight w:val="none"/>
        </w:rPr>
        <w:t>], it can be observed t</w:t>
      </w:r>
      <w:r>
        <w:rPr>
          <w:rFonts w:hint="eastAsia" w:ascii="Times New Roman" w:hAnsi="Times New Roman" w:eastAsia="宋体"/>
          <w:sz w:val="20"/>
          <w:szCs w:val="20"/>
          <w:highlight w:val="none"/>
        </w:rPr>
        <w:t>hat the carrier phas</w:t>
      </w:r>
      <w:r>
        <w:rPr>
          <w:rFonts w:hint="eastAsia" w:ascii="Times New Roman" w:hAnsi="Times New Roman"/>
          <w:sz w:val="20"/>
          <w:szCs w:val="20"/>
          <w:highlight w:val="none"/>
        </w:rPr>
        <w:t xml:space="preserve">e error from two frequency segments could be removed. The scope of integer searching with differential carrier phase(s), i.e., using virtual wavelength, can be minimized (or </w:t>
      </w:r>
      <w:r>
        <w:rPr>
          <w:rFonts w:hint="eastAsia" w:ascii="Times New Roman" w:hAnsi="Times New Roman"/>
          <w:sz w:val="20"/>
          <w:szCs w:val="20"/>
          <w:highlight w:val="none"/>
          <w:lang w:val="en-US" w:eastAsia="zh-CN"/>
        </w:rPr>
        <w:t xml:space="preserve">even </w:t>
      </w:r>
      <w:r>
        <w:rPr>
          <w:rFonts w:hint="eastAsia" w:ascii="Times New Roman" w:hAnsi="Times New Roman"/>
          <w:sz w:val="20"/>
          <w:szCs w:val="20"/>
          <w:highlight w:val="none"/>
        </w:rPr>
        <w:t>be zero), which will reduce the computation complexity of location de-composition. As shown in the following figure, if we divide a PFL into 2 sub-PFL, the corresponding location estimation can be determined as follows:</w:t>
      </w:r>
    </w:p>
    <w:p>
      <w:pPr>
        <w:autoSpaceDE w:val="0"/>
        <w:autoSpaceDN w:val="0"/>
        <w:adjustRightInd w:val="0"/>
        <w:snapToGrid w:val="0"/>
        <w:spacing w:before="180" w:beforeLines="50" w:after="180" w:afterLines="50"/>
        <w:jc w:val="center"/>
        <w:rPr>
          <w:highlight w:val="none"/>
        </w:rPr>
      </w:pPr>
      <w:r>
        <w:rPr>
          <w:highlight w:val="none"/>
        </w:rPr>
        <w:drawing>
          <wp:inline distT="0" distB="0" distL="114300" distR="114300">
            <wp:extent cx="2729230" cy="133350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2729230" cy="1333500"/>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highlight w:val="none"/>
        </w:rPr>
      </w:pPr>
      <w:r>
        <w:rPr>
          <w:rFonts w:ascii="Times New Roman" w:hAnsi="Times New Roman"/>
          <w:sz w:val="20"/>
          <w:szCs w:val="20"/>
          <w:highlight w:val="none"/>
        </w:rPr>
        <w:t xml:space="preserve">Figure </w:t>
      </w:r>
      <w:r>
        <w:rPr>
          <w:rFonts w:ascii="Times New Roman" w:hAnsi="Times New Roman"/>
          <w:sz w:val="20"/>
          <w:szCs w:val="20"/>
          <w:highlight w:val="none"/>
        </w:rPr>
        <w:fldChar w:fldCharType="begin"/>
      </w:r>
      <w:r>
        <w:rPr>
          <w:rFonts w:ascii="Times New Roman" w:hAnsi="Times New Roman"/>
          <w:sz w:val="20"/>
          <w:szCs w:val="20"/>
          <w:highlight w:val="none"/>
        </w:rPr>
        <w:instrText xml:space="preserve"> SEQ Figure \* ARABIC </w:instrText>
      </w:r>
      <w:r>
        <w:rPr>
          <w:rFonts w:ascii="Times New Roman" w:hAnsi="Times New Roman"/>
          <w:sz w:val="20"/>
          <w:szCs w:val="20"/>
          <w:highlight w:val="none"/>
        </w:rPr>
        <w:fldChar w:fldCharType="separate"/>
      </w:r>
      <w:r>
        <w:rPr>
          <w:rFonts w:ascii="Times New Roman" w:hAnsi="Times New Roman"/>
          <w:sz w:val="20"/>
          <w:szCs w:val="20"/>
          <w:highlight w:val="none"/>
        </w:rPr>
        <w:t>5</w:t>
      </w:r>
      <w:r>
        <w:rPr>
          <w:rFonts w:ascii="Times New Roman" w:hAnsi="Times New Roman"/>
          <w:sz w:val="20"/>
          <w:szCs w:val="20"/>
          <w:highlight w:val="none"/>
        </w:rPr>
        <w:fldChar w:fldCharType="end"/>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Definition of virtual wavelength </w:t>
      </w:r>
    </w:p>
    <w:p>
      <w:pPr>
        <w:snapToGrid w:val="0"/>
        <w:spacing w:before="180" w:beforeLines="50" w:after="180" w:afterLines="50"/>
        <w:jc w:val="center"/>
        <w:rPr>
          <w:sz w:val="20"/>
          <w:szCs w:val="20"/>
          <w:highlight w:val="none"/>
        </w:rPr>
      </w:pPr>
      <w:r>
        <w:rPr>
          <w:position w:val="-14"/>
          <w:highlight w:val="none"/>
        </w:rPr>
        <w:object>
          <v:shape id="_x0000_i1025" o:spt="75" type="#_x0000_t75" style="height:18.75pt;width:193.1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highlight w:val="none"/>
        </w:rPr>
        <w:t xml:space="preserve">                          </w:t>
      </w:r>
      <w:r>
        <w:rPr>
          <w:rFonts w:eastAsia="宋体"/>
          <w:sz w:val="20"/>
          <w:szCs w:val="20"/>
          <w:highlight w:val="none"/>
        </w:rPr>
        <w:t xml:space="preserve"> </w:t>
      </w:r>
      <w:r>
        <w:rPr>
          <w:position w:val="-14"/>
          <w:highlight w:val="none"/>
        </w:rPr>
        <w:object>
          <v:shape id="_x0000_i1026" o:spt="75" type="#_x0000_t75" style="height:18.75pt;width:19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λ is the wavelength of the radio signal, Φ is the fractional part of carrier phase estimation, Φ</w:t>
      </w:r>
      <w:r>
        <w:rPr>
          <w:rFonts w:hint="eastAsia" w:ascii="Times New Roman" w:hAnsi="Times New Roman"/>
          <w:sz w:val="20"/>
          <w:szCs w:val="20"/>
          <w:highlight w:val="none"/>
          <w:vertAlign w:val="subscript"/>
        </w:rPr>
        <w:t>Drift</w:t>
      </w:r>
      <w:r>
        <w:rPr>
          <w:rFonts w:hint="eastAsia" w:ascii="Times New Roman" w:hAnsi="Times New Roman"/>
          <w:sz w:val="20"/>
          <w:szCs w:val="20"/>
          <w:highlight w:val="none"/>
        </w:rPr>
        <w:t xml:space="preserve"> is the carrier phase error, N is the integer part of carrier phase, d is the real distance between UE and gNB (LOS distance). Combining these two equations, we have:</w:t>
      </w:r>
    </w:p>
    <w:p>
      <w:pPr>
        <w:autoSpaceDE w:val="0"/>
        <w:autoSpaceDN w:val="0"/>
        <w:adjustRightInd w:val="0"/>
        <w:snapToGrid w:val="0"/>
        <w:spacing w:before="180" w:beforeLines="50" w:after="180" w:afterLines="50" w:line="240" w:lineRule="auto"/>
        <w:jc w:val="center"/>
        <w:rPr>
          <w:rFonts w:ascii="Times New Roman" w:hAnsi="Times New Roman"/>
          <w:sz w:val="20"/>
          <w:szCs w:val="20"/>
          <w:highlight w:val="none"/>
        </w:rPr>
      </w:pPr>
      <w:r>
        <w:rPr>
          <w:rFonts w:hint="eastAsia" w:ascii="Times New Roman" w:hAnsi="Times New Roman"/>
          <w:sz w:val="20"/>
          <w:szCs w:val="20"/>
          <w:highlight w:val="none"/>
        </w:rPr>
        <w:object>
          <v:shape id="_x0000_i1027" o:spt="75" type="#_x0000_t75" style="height:17.65pt;width:202.9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If the above equation is multiplied by a virtual wavelength </w:t>
      </w:r>
      <m:oMath>
        <m:sSub>
          <m:sSubPr>
            <m:ctrlPr>
              <w:rPr>
                <w:rFonts w:hint="eastAsia" w:ascii="Cambria Math" w:hAnsi="Cambria Math"/>
                <w:sz w:val="20"/>
                <w:szCs w:val="20"/>
                <w:highlight w:val="none"/>
              </w:rPr>
            </m:ctrlPr>
          </m:sSubPr>
          <m:e>
            <m:r>
              <m:rPr>
                <m:sty m:val="p"/>
              </m:rPr>
              <w:rPr>
                <w:rFonts w:hint="eastAsia" w:ascii="Cambria Math" w:hAnsi="Cambria Math"/>
                <w:sz w:val="20"/>
                <w:szCs w:val="20"/>
                <w:highlight w:val="none"/>
              </w:rPr>
              <m:t>λ</m:t>
            </m:r>
            <m:ctrlPr>
              <w:rPr>
                <w:rFonts w:hint="eastAsia" w:ascii="Cambria Math" w:hAnsi="Cambria Math"/>
                <w:sz w:val="20"/>
                <w:szCs w:val="20"/>
                <w:highlight w:val="none"/>
              </w:rPr>
            </m:ctrlPr>
          </m:e>
          <m:sub>
            <m:r>
              <m:rPr>
                <m:sty m:val="p"/>
              </m:rPr>
              <w:rPr>
                <w:rFonts w:hint="eastAsia" w:ascii="Cambria Math" w:hAnsi="Cambria Math"/>
                <w:sz w:val="20"/>
                <w:szCs w:val="20"/>
                <w:highlight w:val="none"/>
              </w:rPr>
              <m:t>v</m:t>
            </m:r>
            <m:ctrlPr>
              <w:rPr>
                <w:rFonts w:hint="eastAsia" w:ascii="Cambria Math" w:hAnsi="Cambria Math"/>
                <w:sz w:val="20"/>
                <w:szCs w:val="20"/>
                <w:highlight w:val="none"/>
              </w:rPr>
            </m:ctrlPr>
          </m:sub>
        </m:sSub>
        <m:r>
          <m:rPr>
            <m:sty m:val="p"/>
          </m:rPr>
          <w:rPr>
            <w:rFonts w:hint="eastAsia" w:ascii="Cambria Math" w:hAnsi="Cambria Math"/>
            <w:sz w:val="20"/>
            <w:szCs w:val="20"/>
            <w:highlight w:val="none"/>
          </w:rPr>
          <m:t>=1/(1/</m:t>
        </m:r>
        <m:sSub>
          <m:sSubPr>
            <m:ctrlPr>
              <w:rPr>
                <w:rFonts w:hint="eastAsia" w:ascii="Cambria Math" w:hAnsi="Cambria Math"/>
                <w:sz w:val="20"/>
                <w:szCs w:val="20"/>
                <w:highlight w:val="none"/>
              </w:rPr>
            </m:ctrlPr>
          </m:sSubPr>
          <m:e>
            <m:r>
              <m:rPr>
                <m:sty m:val="p"/>
              </m:rPr>
              <w:rPr>
                <w:rFonts w:hint="eastAsia" w:ascii="Cambria Math" w:hAnsi="Cambria Math"/>
                <w:sz w:val="20"/>
                <w:szCs w:val="20"/>
                <w:highlight w:val="none"/>
              </w:rPr>
              <m:t>λ</m:t>
            </m:r>
            <m:ctrlPr>
              <w:rPr>
                <w:rFonts w:hint="eastAsia" w:ascii="Cambria Math" w:hAnsi="Cambria Math"/>
                <w:sz w:val="20"/>
                <w:szCs w:val="20"/>
                <w:highlight w:val="none"/>
              </w:rPr>
            </m:ctrlPr>
          </m:e>
          <m:sub>
            <m:r>
              <m:rPr>
                <m:sty m:val="p"/>
              </m:rPr>
              <w:rPr>
                <w:rFonts w:hint="eastAsia" w:ascii="Cambria Math" w:hAnsi="Cambria Math"/>
                <w:sz w:val="20"/>
                <w:szCs w:val="20"/>
                <w:highlight w:val="none"/>
              </w:rPr>
              <m:t>2</m:t>
            </m:r>
            <m:ctrlPr>
              <w:rPr>
                <w:rFonts w:hint="eastAsia" w:ascii="Cambria Math" w:hAnsi="Cambria Math"/>
                <w:sz w:val="20"/>
                <w:szCs w:val="20"/>
                <w:highlight w:val="none"/>
              </w:rPr>
            </m:ctrlPr>
          </m:sub>
        </m:sSub>
        <m:r>
          <m:rPr>
            <m:sty m:val="p"/>
          </m:rPr>
          <w:rPr>
            <w:rFonts w:hint="eastAsia" w:ascii="Cambria Math" w:hAnsi="Cambria Math"/>
            <w:sz w:val="20"/>
            <w:szCs w:val="20"/>
            <w:highlight w:val="none"/>
          </w:rPr>
          <m:t>−1/</m:t>
        </m:r>
        <m:sSub>
          <m:sSubPr>
            <m:ctrlPr>
              <w:rPr>
                <w:rFonts w:hint="eastAsia" w:ascii="Cambria Math" w:hAnsi="Cambria Math"/>
                <w:sz w:val="20"/>
                <w:szCs w:val="20"/>
                <w:highlight w:val="none"/>
              </w:rPr>
            </m:ctrlPr>
          </m:sSubPr>
          <m:e>
            <m:r>
              <m:rPr>
                <m:sty m:val="p"/>
              </m:rPr>
              <w:rPr>
                <w:rFonts w:hint="eastAsia" w:ascii="Cambria Math" w:hAnsi="Cambria Math"/>
                <w:sz w:val="20"/>
                <w:szCs w:val="20"/>
                <w:highlight w:val="none"/>
              </w:rPr>
              <m:t>λ</m:t>
            </m:r>
            <m:ctrlPr>
              <w:rPr>
                <w:rFonts w:hint="eastAsia" w:ascii="Cambria Math" w:hAnsi="Cambria Math"/>
                <w:sz w:val="20"/>
                <w:szCs w:val="20"/>
                <w:highlight w:val="none"/>
              </w:rPr>
            </m:ctrlPr>
          </m:e>
          <m:sub>
            <m:r>
              <m:rPr>
                <m:sty m:val="p"/>
              </m:rPr>
              <w:rPr>
                <w:rFonts w:hint="eastAsia" w:ascii="Cambria Math" w:hAnsi="Cambria Math"/>
                <w:sz w:val="20"/>
                <w:szCs w:val="20"/>
                <w:highlight w:val="none"/>
              </w:rPr>
              <m:t>1</m:t>
            </m:r>
            <m:ctrlPr>
              <w:rPr>
                <w:rFonts w:hint="eastAsia" w:ascii="Cambria Math" w:hAnsi="Cambria Math"/>
                <w:sz w:val="20"/>
                <w:szCs w:val="20"/>
                <w:highlight w:val="none"/>
              </w:rPr>
            </m:ctrlPr>
          </m:sub>
        </m:sSub>
        <m:r>
          <m:rPr>
            <m:sty m:val="p"/>
          </m:rPr>
          <w:rPr>
            <w:rFonts w:hint="eastAsia" w:ascii="Cambria Math" w:hAnsi="Cambria Math"/>
            <w:sz w:val="20"/>
            <w:szCs w:val="20"/>
            <w:highlight w:val="none"/>
          </w:rPr>
          <m:t>)</m:t>
        </m:r>
      </m:oMath>
      <w:r>
        <w:rPr>
          <w:rFonts w:hint="eastAsia" w:ascii="Times New Roman" w:hAnsi="Times New Roman"/>
          <w:sz w:val="20"/>
          <w:szCs w:val="20"/>
          <w:highlight w:val="none"/>
        </w:rPr>
        <w:t xml:space="preserve"> , there will be</w:t>
      </w:r>
    </w:p>
    <w:p>
      <w:pPr>
        <w:autoSpaceDE w:val="0"/>
        <w:autoSpaceDN w:val="0"/>
        <w:adjustRightInd w:val="0"/>
        <w:snapToGrid w:val="0"/>
        <w:spacing w:before="180" w:beforeLines="50" w:after="180" w:afterLines="50" w:line="240" w:lineRule="auto"/>
        <w:jc w:val="center"/>
        <w:rPr>
          <w:rFonts w:ascii="Times New Roman" w:hAnsi="Times New Roman"/>
          <w:sz w:val="20"/>
          <w:szCs w:val="20"/>
          <w:highlight w:val="none"/>
        </w:rPr>
      </w:pPr>
      <w:r>
        <w:rPr>
          <w:rFonts w:hint="eastAsia" w:ascii="Times New Roman" w:hAnsi="Times New Roman"/>
          <w:sz w:val="20"/>
          <w:szCs w:val="20"/>
          <w:highlight w:val="none"/>
        </w:rPr>
        <w:object>
          <v:shape id="_x0000_i1028" o:spt="75" type="#_x0000_t75" style="height:17.65pt;width:154.9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Where, the ΔΦ=Φ</w:t>
      </w:r>
      <w:r>
        <w:rPr>
          <w:rFonts w:hint="eastAsia" w:ascii="Times New Roman" w:hAnsi="Times New Roman"/>
          <w:sz w:val="20"/>
          <w:szCs w:val="20"/>
          <w:highlight w:val="none"/>
          <w:vertAlign w:val="subscript"/>
        </w:rPr>
        <w:t>2</w:t>
      </w:r>
      <w:r>
        <w:rPr>
          <w:rFonts w:hint="eastAsia" w:ascii="Times New Roman" w:hAnsi="Times New Roman"/>
          <w:sz w:val="20"/>
          <w:szCs w:val="20"/>
          <w:highlight w:val="none"/>
        </w:rPr>
        <w:t>-Φ</w:t>
      </w:r>
      <w:r>
        <w:rPr>
          <w:rFonts w:hint="eastAsia" w:ascii="Times New Roman" w:hAnsi="Times New Roman"/>
          <w:sz w:val="20"/>
          <w:szCs w:val="20"/>
          <w:highlight w:val="none"/>
          <w:vertAlign w:val="subscript"/>
        </w:rPr>
        <w:t>1</w:t>
      </w:r>
      <w:r>
        <w:rPr>
          <w:rFonts w:hint="eastAsia" w:ascii="Times New Roman" w:hAnsi="Times New Roman"/>
          <w:sz w:val="20"/>
          <w:szCs w:val="20"/>
          <w:highlight w:val="none"/>
        </w:rPr>
        <w:t>, ΔN=N</w:t>
      </w:r>
      <w:r>
        <w:rPr>
          <w:rFonts w:hint="eastAsia" w:ascii="Times New Roman" w:hAnsi="Times New Roman"/>
          <w:sz w:val="20"/>
          <w:szCs w:val="20"/>
          <w:highlight w:val="none"/>
          <w:vertAlign w:val="subscript"/>
        </w:rPr>
        <w:t>2</w:t>
      </w:r>
      <w:r>
        <w:rPr>
          <w:rFonts w:hint="eastAsia" w:ascii="Times New Roman" w:hAnsi="Times New Roman"/>
          <w:sz w:val="20"/>
          <w:szCs w:val="20"/>
          <w:highlight w:val="none"/>
        </w:rPr>
        <w:t>-N</w:t>
      </w:r>
      <w:r>
        <w:rPr>
          <w:rFonts w:hint="eastAsia" w:ascii="Times New Roman" w:hAnsi="Times New Roman"/>
          <w:sz w:val="20"/>
          <w:szCs w:val="20"/>
          <w:highlight w:val="none"/>
          <w:vertAlign w:val="subscript"/>
        </w:rPr>
        <w:t>1</w:t>
      </w:r>
      <w:r>
        <w:rPr>
          <w:rFonts w:hint="eastAsia" w:ascii="Times New Roman" w:hAnsi="Times New Roman"/>
          <w:sz w:val="20"/>
          <w:szCs w:val="20"/>
          <w:highlight w:val="none"/>
        </w:rPr>
        <w:t>.</w: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It can be observed that the carrier phase error (Φ</w:t>
      </w:r>
      <w:r>
        <w:rPr>
          <w:rFonts w:hint="eastAsia" w:ascii="Times New Roman" w:hAnsi="Times New Roman"/>
          <w:sz w:val="20"/>
          <w:szCs w:val="20"/>
          <w:highlight w:val="none"/>
          <w:vertAlign w:val="subscript"/>
        </w:rPr>
        <w:t>Drift</w:t>
      </w:r>
      <w:r>
        <w:rPr>
          <w:rFonts w:hint="eastAsia" w:ascii="Times New Roman" w:hAnsi="Times New Roman"/>
          <w:sz w:val="20"/>
          <w:szCs w:val="20"/>
          <w:highlight w:val="none"/>
        </w:rPr>
        <w:t xml:space="preserve">) from two frequency sections in one carrier within one site (or one gNB) is removed by a single difference. And also, if the frequency difference of two sub-carriers is small enough, the scope of integer searching with differential carrier phase(s) ΔN can be minimized (or be zero). The computational complexity can be minimized. To realize carrier phase positioning with the help of multiple frequency segments, the center frequency and corresponding phase of different carrier segments need to be reported. </w:t>
      </w:r>
      <w:r>
        <w:rPr>
          <w:rFonts w:ascii="Times New Roman" w:hAnsi="Times New Roman"/>
          <w:sz w:val="20"/>
          <w:szCs w:val="20"/>
          <w:highlight w:val="none"/>
        </w:rPr>
        <w:t>Hence, we have the following proposal</w:t>
      </w:r>
      <w:r>
        <w:rPr>
          <w:rFonts w:hint="eastAsia" w:ascii="Times New Roman" w:hAnsi="Times New Roman"/>
          <w:sz w:val="20"/>
          <w:szCs w:val="20"/>
          <w:highlight w:val="none"/>
        </w:rPr>
        <w:t xml:space="preserve">. </w:t>
      </w:r>
    </w:p>
    <w:p>
      <w:pPr>
        <w:widowControl w:val="0"/>
        <w:snapToGrid w:val="0"/>
        <w:spacing w:after="0" w:line="240" w:lineRule="auto"/>
        <w:jc w:val="both"/>
        <w:rPr>
          <w:rFonts w:ascii="Times New Roman" w:hAnsi="Times New Roman"/>
          <w:b/>
          <w:bCs/>
          <w:i/>
          <w:iCs/>
          <w:sz w:val="20"/>
          <w:szCs w:val="20"/>
          <w:highlight w:val="none"/>
        </w:rPr>
      </w:pPr>
      <w:bookmarkStart w:id="17" w:name="_Ref31713"/>
      <w:bookmarkStart w:id="18" w:name="_Ref23565"/>
      <w:r>
        <w:rPr>
          <w:rFonts w:ascii="Times New Roman" w:hAnsi="Times New Roman"/>
          <w:b/>
          <w:bCs/>
          <w:i/>
          <w:iCs/>
          <w:sz w:val="20"/>
          <w:szCs w:val="20"/>
          <w:highlight w:val="none"/>
        </w:rPr>
        <w:t xml:space="preserve">Proposal </w:t>
      </w:r>
      <w:r>
        <w:rPr>
          <w:rFonts w:ascii="Times New Roman" w:hAnsi="Times New Roman"/>
          <w:b/>
          <w:bCs/>
          <w:i/>
          <w:iCs/>
          <w:sz w:val="20"/>
          <w:szCs w:val="20"/>
          <w:highlight w:val="none"/>
        </w:rPr>
        <w:fldChar w:fldCharType="begin"/>
      </w:r>
      <w:r>
        <w:rPr>
          <w:rFonts w:ascii="Times New Roman" w:hAnsi="Times New Roman"/>
          <w:b/>
          <w:bCs/>
          <w:i/>
          <w:iCs/>
          <w:sz w:val="20"/>
          <w:szCs w:val="20"/>
          <w:highlight w:val="none"/>
        </w:rPr>
        <w:instrText xml:space="preserve"> SEQ Proposal \* ARABIC </w:instrText>
      </w:r>
      <w:r>
        <w:rPr>
          <w:rFonts w:ascii="Times New Roman" w:hAnsi="Times New Roman"/>
          <w:b/>
          <w:bCs/>
          <w:i/>
          <w:iCs/>
          <w:sz w:val="20"/>
          <w:szCs w:val="20"/>
          <w:highlight w:val="none"/>
        </w:rPr>
        <w:fldChar w:fldCharType="separate"/>
      </w:r>
      <w:r>
        <w:rPr>
          <w:rFonts w:ascii="Times New Roman" w:hAnsi="Times New Roman"/>
          <w:b/>
          <w:bCs/>
          <w:i/>
          <w:iCs/>
          <w:sz w:val="20"/>
          <w:szCs w:val="20"/>
          <w:highlight w:val="none"/>
        </w:rPr>
        <w:t>8</w:t>
      </w:r>
      <w:r>
        <w:rPr>
          <w:rFonts w:ascii="Times New Roman" w:hAnsi="Times New Roman"/>
          <w:b/>
          <w:bCs/>
          <w:i/>
          <w:iCs/>
          <w:sz w:val="20"/>
          <w:szCs w:val="20"/>
          <w:highlight w:val="none"/>
        </w:rPr>
        <w:fldChar w:fldCharType="end"/>
      </w:r>
      <w:r>
        <w:rPr>
          <w:rFonts w:ascii="Times New Roman" w:hAnsi="Times New Roman"/>
          <w:b/>
          <w:bCs/>
          <w:i/>
          <w:iCs/>
          <w:sz w:val="20"/>
          <w:szCs w:val="20"/>
          <w:highlight w:val="none"/>
        </w:rPr>
        <w:t xml:space="preserve">: </w:t>
      </w:r>
      <w:r>
        <w:rPr>
          <w:rFonts w:hint="eastAsia" w:ascii="Times New Roman" w:hAnsi="Times New Roman"/>
          <w:b/>
          <w:bCs/>
          <w:i/>
          <w:iCs/>
          <w:sz w:val="20"/>
          <w:szCs w:val="20"/>
          <w:highlight w:val="none"/>
        </w:rPr>
        <w:t>Support measuring and reporting the carrier phase of multiple sub-carriers/segments in one carrier/PFL</w:t>
      </w:r>
      <w:bookmarkEnd w:id="17"/>
      <w:r>
        <w:rPr>
          <w:rFonts w:hint="eastAsia" w:ascii="Times New Roman" w:hAnsi="Times New Roman"/>
          <w:b/>
          <w:bCs/>
          <w:i/>
          <w:iCs/>
          <w:sz w:val="20"/>
          <w:szCs w:val="20"/>
          <w:highlight w:val="none"/>
        </w:rPr>
        <w:t xml:space="preserve">. </w:t>
      </w:r>
      <w:bookmarkEnd w:id="18"/>
    </w:p>
    <w:p>
      <w:pPr>
        <w:widowControl w:val="0"/>
        <w:snapToGrid w:val="0"/>
        <w:spacing w:after="0" w:line="240" w:lineRule="auto"/>
        <w:ind w:firstLine="720"/>
        <w:jc w:val="both"/>
        <w:rPr>
          <w:rFonts w:ascii="Times New Roman" w:hAnsi="Times New Roman"/>
          <w:b/>
          <w:bCs/>
          <w:i/>
          <w:iCs/>
          <w:sz w:val="20"/>
          <w:szCs w:val="20"/>
          <w:highlight w:val="none"/>
        </w:rPr>
      </w:pPr>
      <w:r>
        <w:rPr>
          <w:rFonts w:hint="eastAsia" w:ascii="Times New Roman" w:hAnsi="Times New Roman"/>
          <w:b/>
          <w:bCs/>
          <w:i/>
          <w:iCs/>
          <w:sz w:val="20"/>
          <w:szCs w:val="20"/>
          <w:highlight w:val="none"/>
        </w:rPr>
        <w:t xml:space="preserve">- </w:t>
      </w:r>
      <w:r>
        <w:rPr>
          <w:rFonts w:ascii="Times New Roman" w:hAnsi="Times New Roman"/>
          <w:b/>
          <w:bCs/>
          <w:i/>
          <w:iCs/>
          <w:sz w:val="20"/>
          <w:szCs w:val="20"/>
          <w:highlight w:val="none"/>
        </w:rPr>
        <w:t>center frequency or λ should be informed for each selected sub-carrier/segment</w:t>
      </w:r>
      <w:r>
        <w:rPr>
          <w:rFonts w:hint="eastAsia" w:ascii="Times New Roman" w:hAnsi="Times New Roman"/>
          <w:b/>
          <w:bCs/>
          <w:i/>
          <w:iCs/>
          <w:sz w:val="20"/>
          <w:szCs w:val="20"/>
          <w:highlight w:val="none"/>
        </w:rPr>
        <w:t>.</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multiple sub-carrier phase measurements, in option 1, there is an FFS concerning the details of reporting for multiple sub-carrier phase measurements. As shown in </w:t>
      </w:r>
      <w:r>
        <w:rPr>
          <w:rFonts w:hint="eastAsia" w:ascii="Times New Roman" w:hAnsi="Times New Roman" w:eastAsia="宋体"/>
          <w:sz w:val="20"/>
          <w:szCs w:val="20"/>
          <w:highlight w:val="none"/>
        </w:rPr>
        <w:fldChar w:fldCharType="begin"/>
      </w:r>
      <w:r>
        <w:rPr>
          <w:rFonts w:hint="eastAsia" w:ascii="Times New Roman" w:hAnsi="Times New Roman" w:eastAsia="宋体"/>
          <w:sz w:val="20"/>
          <w:szCs w:val="20"/>
          <w:highlight w:val="none"/>
        </w:rPr>
        <w:instrText xml:space="preserve"> REF _Ref16015 \h </w:instrText>
      </w:r>
      <w:r>
        <w:rPr>
          <w:rFonts w:hint="eastAsia" w:ascii="Times New Roman" w:hAnsi="Times New Roman" w:eastAsia="宋体"/>
          <w:sz w:val="20"/>
          <w:szCs w:val="20"/>
          <w:highlight w:val="none"/>
        </w:rPr>
        <w:fldChar w:fldCharType="separate"/>
      </w:r>
      <w:r>
        <w:rPr>
          <w:rFonts w:ascii="Times New Roman" w:hAnsi="Times New Roman"/>
          <w:sz w:val="20"/>
          <w:szCs w:val="20"/>
          <w:highlight w:val="none"/>
        </w:rPr>
        <w:t>Figure 6</w:t>
      </w:r>
      <w:r>
        <w:rPr>
          <w:rFonts w:hint="eastAsia" w:ascii="Times New Roman" w:hAnsi="Times New Roman" w:eastAsia="宋体"/>
          <w:sz w:val="20"/>
          <w:szCs w:val="20"/>
          <w:highlight w:val="none"/>
        </w:rPr>
        <w:fldChar w:fldCharType="end"/>
      </w:r>
      <w:r>
        <w:rPr>
          <w:rFonts w:hint="eastAsia" w:ascii="Times New Roman" w:hAnsi="Times New Roman" w:eastAsia="宋体"/>
          <w:sz w:val="20"/>
          <w:szCs w:val="20"/>
          <w:highlight w:val="none"/>
        </w:rPr>
        <w:t xml:space="preserve">, a PFL/carrier contains multiple sub-carriers, and UE may report the carrier phase of several sub-carriers in one measurement report. </w:t>
      </w:r>
    </w:p>
    <w:p>
      <w:pPr>
        <w:adjustRightInd w:val="0"/>
        <w:snapToGrid w:val="0"/>
        <w:spacing w:before="180" w:beforeLines="50" w:after="180" w:afterLines="50" w:line="240" w:lineRule="auto"/>
        <w:jc w:val="center"/>
        <w:rPr>
          <w:highlight w:val="none"/>
        </w:rPr>
      </w:pPr>
      <w:r>
        <w:rPr>
          <w:highlight w:val="none"/>
        </w:rPr>
        <w:drawing>
          <wp:inline distT="0" distB="0" distL="114300" distR="114300">
            <wp:extent cx="2201545" cy="1774190"/>
            <wp:effectExtent l="0" t="0" r="8255" b="16510"/>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20"/>
                    <a:stretch>
                      <a:fillRect/>
                    </a:stretch>
                  </pic:blipFill>
                  <pic:spPr>
                    <a:xfrm>
                      <a:off x="0" y="0"/>
                      <a:ext cx="2201545" cy="1774190"/>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highlight w:val="none"/>
        </w:rPr>
      </w:pPr>
      <w:bookmarkStart w:id="19" w:name="_Ref16015"/>
      <w:r>
        <w:rPr>
          <w:rFonts w:ascii="Times New Roman" w:hAnsi="Times New Roman"/>
          <w:sz w:val="20"/>
          <w:szCs w:val="20"/>
          <w:highlight w:val="none"/>
        </w:rPr>
        <w:t xml:space="preserve">Figure </w:t>
      </w:r>
      <w:r>
        <w:rPr>
          <w:rFonts w:ascii="Times New Roman" w:hAnsi="Times New Roman"/>
          <w:sz w:val="20"/>
          <w:szCs w:val="20"/>
          <w:highlight w:val="none"/>
        </w:rPr>
        <w:fldChar w:fldCharType="begin"/>
      </w:r>
      <w:r>
        <w:rPr>
          <w:rFonts w:ascii="Times New Roman" w:hAnsi="Times New Roman"/>
          <w:sz w:val="20"/>
          <w:szCs w:val="20"/>
          <w:highlight w:val="none"/>
        </w:rPr>
        <w:instrText xml:space="preserve"> SEQ Figure \* ARABIC </w:instrText>
      </w:r>
      <w:r>
        <w:rPr>
          <w:rFonts w:ascii="Times New Roman" w:hAnsi="Times New Roman"/>
          <w:sz w:val="20"/>
          <w:szCs w:val="20"/>
          <w:highlight w:val="none"/>
        </w:rPr>
        <w:fldChar w:fldCharType="separate"/>
      </w:r>
      <w:r>
        <w:rPr>
          <w:rFonts w:ascii="Times New Roman" w:hAnsi="Times New Roman"/>
          <w:sz w:val="20"/>
          <w:szCs w:val="20"/>
          <w:highlight w:val="none"/>
        </w:rPr>
        <w:t>6</w:t>
      </w:r>
      <w:r>
        <w:rPr>
          <w:rFonts w:ascii="Times New Roman" w:hAnsi="Times New Roman"/>
          <w:sz w:val="20"/>
          <w:szCs w:val="20"/>
          <w:highlight w:val="none"/>
        </w:rPr>
        <w:fldChar w:fldCharType="end"/>
      </w:r>
      <w:bookmarkEnd w:id="19"/>
      <w:r>
        <w:rPr>
          <w:rFonts w:ascii="Times New Roman" w:hAnsi="Times New Roman"/>
          <w:sz w:val="20"/>
          <w:szCs w:val="20"/>
          <w:highlight w:val="none"/>
        </w:rPr>
        <w:t xml:space="preserve">. </w:t>
      </w:r>
      <w:r>
        <w:rPr>
          <w:rFonts w:hint="eastAsia" w:ascii="Times New Roman" w:hAnsi="Times New Roman"/>
          <w:sz w:val="20"/>
          <w:szCs w:val="20"/>
          <w:highlight w:val="none"/>
        </w:rPr>
        <w:t xml:space="preserve">UE reports the carrier phase of multiple sub-carriers </w:t>
      </w:r>
    </w:p>
    <w:p>
      <w:pPr>
        <w:adjustRightInd w:val="0"/>
        <w:snapToGrid w:val="0"/>
        <w:spacing w:before="180" w:beforeLines="50" w:after="180" w:afterLines="50" w:line="240" w:lineRule="auto"/>
        <w:jc w:val="both"/>
        <w:rPr>
          <w:highlight w:val="none"/>
        </w:rPr>
      </w:pPr>
      <w:r>
        <w:rPr>
          <w:rFonts w:hint="eastAsia" w:ascii="Times New Roman" w:hAnsi="Times New Roman" w:eastAsia="宋体"/>
          <w:sz w:val="20"/>
          <w:szCs w:val="20"/>
          <w:highlight w:val="none"/>
        </w:rPr>
        <w:t xml:space="preserve">In </w:t>
      </w:r>
      <w:r>
        <w:rPr>
          <w:rFonts w:hint="eastAsia" w:ascii="Times New Roman" w:hAnsi="Times New Roman" w:eastAsia="宋体"/>
          <w:sz w:val="20"/>
          <w:szCs w:val="20"/>
          <w:highlight w:val="none"/>
        </w:rPr>
        <w:fldChar w:fldCharType="begin"/>
      </w:r>
      <w:r>
        <w:rPr>
          <w:rFonts w:hint="eastAsia" w:ascii="Times New Roman" w:hAnsi="Times New Roman" w:eastAsia="宋体"/>
          <w:sz w:val="20"/>
          <w:szCs w:val="20"/>
          <w:highlight w:val="none"/>
        </w:rPr>
        <w:instrText xml:space="preserve"> REF _Ref16015 \h </w:instrText>
      </w:r>
      <w:r>
        <w:rPr>
          <w:rFonts w:hint="eastAsia" w:ascii="Times New Roman" w:hAnsi="Times New Roman" w:eastAsia="宋体"/>
          <w:sz w:val="20"/>
          <w:szCs w:val="20"/>
          <w:highlight w:val="none"/>
        </w:rPr>
        <w:fldChar w:fldCharType="separate"/>
      </w:r>
      <w:r>
        <w:rPr>
          <w:rFonts w:ascii="Times New Roman" w:hAnsi="Times New Roman"/>
          <w:sz w:val="20"/>
          <w:szCs w:val="20"/>
          <w:highlight w:val="none"/>
        </w:rPr>
        <w:t>Figure 6</w:t>
      </w:r>
      <w:r>
        <w:rPr>
          <w:rFonts w:hint="eastAsia" w:ascii="Times New Roman" w:hAnsi="Times New Roman" w:eastAsia="宋体"/>
          <w:sz w:val="20"/>
          <w:szCs w:val="20"/>
          <w:highlight w:val="none"/>
        </w:rPr>
        <w:fldChar w:fldCharType="end"/>
      </w:r>
      <w:r>
        <w:rPr>
          <w:rFonts w:hint="eastAsia" w:ascii="Times New Roman" w:hAnsi="Times New Roman" w:eastAsia="宋体"/>
          <w:sz w:val="20"/>
          <w:szCs w:val="20"/>
          <w:highlight w:val="none"/>
        </w:rPr>
        <w:t xml:space="preserve">, </w:t>
      </w:r>
      <w:r>
        <w:rPr>
          <w:rFonts w:hint="eastAsia" w:ascii="Times New Roman" w:hAnsi="Times New Roman" w:eastAsia="宋体"/>
          <w:i/>
          <w:iCs/>
          <w:sz w:val="20"/>
          <w:szCs w:val="20"/>
          <w:highlight w:val="none"/>
        </w:rPr>
        <w:t>N</w:t>
      </w:r>
      <w:r>
        <w:rPr>
          <w:rFonts w:hint="eastAsia" w:ascii="Times New Roman" w:hAnsi="Times New Roman" w:eastAsia="宋体"/>
          <w:sz w:val="20"/>
          <w:szCs w:val="20"/>
          <w:highlight w:val="none"/>
        </w:rPr>
        <w:t xml:space="preserve"> indicates the number of sub-carrier to be reported in each carrier phase measurement result, and </w:t>
      </w:r>
      <w:r>
        <w:rPr>
          <w:rFonts w:hint="eastAsia" w:ascii="Times New Roman" w:hAnsi="Times New Roman" w:eastAsia="宋体"/>
          <w:i/>
          <w:iCs/>
          <w:sz w:val="20"/>
          <w:szCs w:val="20"/>
          <w:highlight w:val="none"/>
        </w:rPr>
        <w:t xml:space="preserve">M </w:t>
      </w:r>
      <w:r>
        <w:rPr>
          <w:rFonts w:hint="eastAsia" w:ascii="Times New Roman" w:hAnsi="Times New Roman" w:eastAsia="宋体"/>
          <w:sz w:val="20"/>
          <w:szCs w:val="20"/>
          <w:highlight w:val="none"/>
        </w:rPr>
        <w:t xml:space="preserve">represents the number of carrier phase reports in each PFL. LMF can configure the requirement </w:t>
      </w:r>
      <w:r>
        <w:rPr>
          <w:rFonts w:hint="eastAsia" w:ascii="Times New Roman" w:hAnsi="Times New Roman" w:eastAsia="宋体"/>
          <w:i/>
          <w:iCs/>
          <w:sz w:val="20"/>
          <w:szCs w:val="20"/>
          <w:highlight w:val="none"/>
        </w:rPr>
        <w:t xml:space="preserve">M </w:t>
      </w:r>
      <w:r>
        <w:rPr>
          <w:rFonts w:hint="eastAsia" w:ascii="Times New Roman" w:hAnsi="Times New Roman" w:eastAsia="宋体"/>
          <w:sz w:val="20"/>
          <w:szCs w:val="20"/>
          <w:highlight w:val="none"/>
        </w:rPr>
        <w:t xml:space="preserve">or </w:t>
      </w:r>
      <w:r>
        <w:rPr>
          <w:rFonts w:hint="eastAsia" w:ascii="Times New Roman" w:hAnsi="Times New Roman" w:eastAsia="宋体"/>
          <w:i/>
          <w:iCs/>
          <w:sz w:val="20"/>
          <w:szCs w:val="20"/>
          <w:highlight w:val="none"/>
        </w:rPr>
        <w:t xml:space="preserve">N </w:t>
      </w:r>
      <w:r>
        <w:rPr>
          <w:rFonts w:hint="eastAsia" w:ascii="Times New Roman" w:hAnsi="Times New Roman" w:eastAsia="宋体"/>
          <w:sz w:val="20"/>
          <w:szCs w:val="20"/>
          <w:highlight w:val="none"/>
        </w:rPr>
        <w:t>for multiple sub-carrier phase measurements. In this way, UE can execute carrier phase measurement and report procedures as configured by LMF.</w:t>
      </w:r>
    </w:p>
    <w:p>
      <w:pPr>
        <w:pStyle w:val="81"/>
        <w:adjustRightInd w:val="0"/>
        <w:snapToGrid w:val="0"/>
        <w:spacing w:afterLines="50"/>
        <w:ind w:left="0" w:firstLine="0"/>
        <w:jc w:val="both"/>
        <w:rPr>
          <w:rFonts w:eastAsia="宋体"/>
          <w:highlight w:val="none"/>
          <w:lang w:val="en-US" w:eastAsia="zh-CN"/>
        </w:rPr>
      </w:pPr>
      <w:r>
        <w:rPr>
          <w:rFonts w:hint="eastAsia" w:eastAsia="宋体"/>
          <w:highlight w:val="none"/>
          <w:lang w:val="en-US" w:eastAsia="zh-CN"/>
        </w:rPr>
        <w:t>Hence, we have the following proposal:</w:t>
      </w:r>
    </w:p>
    <w:p>
      <w:pPr>
        <w:widowControl w:val="0"/>
        <w:snapToGrid w:val="0"/>
        <w:spacing w:after="0" w:line="240" w:lineRule="auto"/>
        <w:jc w:val="both"/>
        <w:rPr>
          <w:rFonts w:ascii="Times New Roman" w:hAnsi="Times New Roman"/>
          <w:b/>
          <w:bCs/>
          <w:i/>
          <w:iCs/>
          <w:sz w:val="20"/>
          <w:szCs w:val="20"/>
          <w:highlight w:val="none"/>
        </w:rPr>
      </w:pPr>
      <w:bookmarkStart w:id="20" w:name="_Ref18376"/>
      <w:r>
        <w:rPr>
          <w:rFonts w:ascii="Times New Roman" w:hAnsi="Times New Roman"/>
          <w:b/>
          <w:bCs/>
          <w:i/>
          <w:iCs/>
          <w:sz w:val="20"/>
          <w:szCs w:val="20"/>
          <w:highlight w:val="none"/>
        </w:rPr>
        <w:t xml:space="preserve">Proposal </w:t>
      </w:r>
      <w:r>
        <w:rPr>
          <w:rFonts w:ascii="Times New Roman" w:hAnsi="Times New Roman"/>
          <w:b/>
          <w:bCs/>
          <w:i/>
          <w:iCs/>
          <w:sz w:val="20"/>
          <w:szCs w:val="20"/>
          <w:highlight w:val="none"/>
        </w:rPr>
        <w:fldChar w:fldCharType="begin"/>
      </w:r>
      <w:r>
        <w:rPr>
          <w:rFonts w:ascii="Times New Roman" w:hAnsi="Times New Roman"/>
          <w:b/>
          <w:bCs/>
          <w:i/>
          <w:iCs/>
          <w:sz w:val="20"/>
          <w:szCs w:val="20"/>
          <w:highlight w:val="none"/>
        </w:rPr>
        <w:instrText xml:space="preserve"> SEQ Proposal \* ARABIC </w:instrText>
      </w:r>
      <w:r>
        <w:rPr>
          <w:rFonts w:ascii="Times New Roman" w:hAnsi="Times New Roman"/>
          <w:b/>
          <w:bCs/>
          <w:i/>
          <w:iCs/>
          <w:sz w:val="20"/>
          <w:szCs w:val="20"/>
          <w:highlight w:val="none"/>
        </w:rPr>
        <w:fldChar w:fldCharType="separate"/>
      </w:r>
      <w:r>
        <w:rPr>
          <w:rFonts w:ascii="Times New Roman" w:hAnsi="Times New Roman"/>
          <w:b/>
          <w:bCs/>
          <w:i/>
          <w:iCs/>
          <w:sz w:val="20"/>
          <w:szCs w:val="20"/>
          <w:highlight w:val="none"/>
        </w:rPr>
        <w:t>9</w:t>
      </w:r>
      <w:r>
        <w:rPr>
          <w:rFonts w:ascii="Times New Roman" w:hAnsi="Times New Roman"/>
          <w:b/>
          <w:bCs/>
          <w:i/>
          <w:iCs/>
          <w:sz w:val="20"/>
          <w:szCs w:val="20"/>
          <w:highlight w:val="none"/>
        </w:rPr>
        <w:fldChar w:fldCharType="end"/>
      </w:r>
      <w:r>
        <w:rPr>
          <w:rFonts w:ascii="Times New Roman" w:hAnsi="Times New Roman"/>
          <w:b/>
          <w:bCs/>
          <w:i/>
          <w:iCs/>
          <w:sz w:val="20"/>
          <w:szCs w:val="20"/>
          <w:highlight w:val="none"/>
        </w:rPr>
        <w:t>:</w:t>
      </w:r>
      <w:r>
        <w:rPr>
          <w:rFonts w:hint="eastAsia" w:ascii="Times New Roman" w:hAnsi="Times New Roman"/>
          <w:b/>
          <w:bCs/>
          <w:i/>
          <w:iCs/>
          <w:sz w:val="20"/>
          <w:szCs w:val="20"/>
          <w:highlight w:val="none"/>
        </w:rPr>
        <w:t xml:space="preserve"> If a UE/TRP </w:t>
      </w:r>
      <w:r>
        <w:rPr>
          <w:rFonts w:hint="eastAsia" w:ascii="Times New Roman" w:hAnsi="Times New Roman"/>
          <w:b/>
          <w:bCs/>
          <w:i/>
          <w:iCs/>
          <w:sz w:val="20"/>
          <w:szCs w:val="20"/>
          <w:highlight w:val="none"/>
          <w:lang w:val="en-US" w:eastAsia="zh-CN"/>
        </w:rPr>
        <w:t>supports</w:t>
      </w:r>
      <w:r>
        <w:rPr>
          <w:rFonts w:hint="eastAsia" w:ascii="Times New Roman" w:hAnsi="Times New Roman"/>
          <w:b/>
          <w:bCs/>
          <w:i/>
          <w:iCs/>
          <w:sz w:val="20"/>
          <w:szCs w:val="20"/>
          <w:highlight w:val="none"/>
        </w:rPr>
        <w:t xml:space="preserve"> the carrier phase measurements of more than one frequencies within a PFL/carrier, the following enhancement can be supported:</w:t>
      </w:r>
      <w:bookmarkEnd w:id="20"/>
    </w:p>
    <w:p>
      <w:pPr>
        <w:widowControl w:val="0"/>
        <w:snapToGrid w:val="0"/>
        <w:spacing w:after="0" w:line="240" w:lineRule="auto"/>
        <w:ind w:firstLine="720"/>
        <w:jc w:val="both"/>
        <w:rPr>
          <w:rFonts w:ascii="Times New Roman" w:hAnsi="Times New Roman"/>
          <w:b/>
          <w:bCs/>
          <w:i/>
          <w:iCs/>
          <w:sz w:val="20"/>
          <w:szCs w:val="20"/>
          <w:highlight w:val="none"/>
        </w:rPr>
      </w:pPr>
      <w:r>
        <w:rPr>
          <w:rFonts w:hint="eastAsia" w:ascii="Times New Roman" w:hAnsi="Times New Roman"/>
          <w:b/>
          <w:bCs/>
          <w:i/>
          <w:iCs/>
          <w:sz w:val="20"/>
          <w:szCs w:val="20"/>
          <w:highlight w:val="none"/>
        </w:rPr>
        <w:t>-LMF configures the number of PRBs/sub-carriers for each carrier phase measurement report.</w:t>
      </w:r>
    </w:p>
    <w:p>
      <w:pPr>
        <w:widowControl w:val="0"/>
        <w:snapToGrid w:val="0"/>
        <w:spacing w:after="0" w:line="240" w:lineRule="auto"/>
        <w:ind w:firstLine="720"/>
        <w:jc w:val="both"/>
        <w:rPr>
          <w:rFonts w:hint="eastAsia" w:ascii="Times New Roman" w:hAnsi="Times New Roman"/>
          <w:b/>
          <w:bCs/>
          <w:i/>
          <w:iCs/>
          <w:sz w:val="20"/>
          <w:szCs w:val="20"/>
          <w:highlight w:val="none"/>
        </w:rPr>
      </w:pPr>
      <w:r>
        <w:rPr>
          <w:rFonts w:hint="eastAsia" w:ascii="Times New Roman" w:hAnsi="Times New Roman"/>
          <w:b/>
          <w:bCs/>
          <w:i/>
          <w:iCs/>
          <w:sz w:val="20"/>
          <w:szCs w:val="20"/>
          <w:highlight w:val="none"/>
        </w:rPr>
        <w:t>-LMF configures the number of carrier phase measurement reports for each PFL/carrier.</w:t>
      </w:r>
    </w:p>
    <w:p>
      <w:pPr>
        <w:widowControl w:val="0"/>
        <w:snapToGrid w:val="0"/>
        <w:spacing w:after="0" w:line="240" w:lineRule="auto"/>
        <w:ind w:firstLine="720"/>
        <w:jc w:val="both"/>
        <w:rPr>
          <w:rFonts w:hint="eastAsia" w:ascii="Times New Roman" w:hAnsi="Times New Roman"/>
          <w:b/>
          <w:bCs/>
          <w:i/>
          <w:iCs/>
          <w:sz w:val="20"/>
          <w:szCs w:val="20"/>
          <w:highlight w:val="none"/>
        </w:rPr>
      </w:pPr>
    </w:p>
    <w:p>
      <w:pPr>
        <w:pStyle w:val="4"/>
        <w:numPr>
          <w:ilvl w:val="1"/>
          <w:numId w:val="0"/>
        </w:numPr>
        <w:ind w:left="220" w:leftChars="100"/>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rPr>
        <w:t>2.</w:t>
      </w:r>
      <w:r>
        <w:rPr>
          <w:rFonts w:hint="eastAsia" w:ascii="Times New Roman" w:hAnsi="Times New Roman" w:cs="Times New Roman"/>
          <w:b/>
          <w:bCs/>
          <w:highlight w:val="none"/>
          <w:lang w:val="en-US" w:eastAsia="zh-CN"/>
        </w:rPr>
        <w:t>4</w:t>
      </w:r>
      <w:r>
        <w:rPr>
          <w:rFonts w:hint="eastAsia" w:ascii="Times New Roman" w:hAnsi="Times New Roman" w:cs="Times New Roman"/>
          <w:b/>
          <w:bCs/>
          <w:highlight w:val="none"/>
          <w:lang w:val="en-US"/>
        </w:rPr>
        <w:t>.</w:t>
      </w:r>
      <w:r>
        <w:rPr>
          <w:rFonts w:hint="eastAsia" w:ascii="Times New Roman" w:hAnsi="Times New Roman" w:cs="Times New Roman"/>
          <w:b/>
          <w:bCs/>
          <w:highlight w:val="none"/>
          <w:lang w:val="en-US" w:eastAsia="zh-CN"/>
        </w:rPr>
        <w:t>2</w:t>
      </w:r>
      <w:r>
        <w:rPr>
          <w:rFonts w:hint="eastAsia" w:ascii="Times New Roman" w:hAnsi="Times New Roman" w:cs="Times New Roman"/>
          <w:b/>
          <w:bCs/>
          <w:highlight w:val="none"/>
          <w:lang w:val="en-US"/>
        </w:rPr>
        <w:t xml:space="preserve"> </w:t>
      </w:r>
      <w:r>
        <w:rPr>
          <w:rFonts w:hint="eastAsia" w:ascii="Times New Roman" w:hAnsi="Times New Roman" w:cs="Times New Roman"/>
          <w:b/>
          <w:bCs/>
          <w:highlight w:val="none"/>
          <w:lang w:val="en-US" w:eastAsia="zh-CN"/>
        </w:rPr>
        <w:t xml:space="preserve">Integer ambiguity configuration and/or report </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lang w:val="en-US" w:eastAsia="zh-CN"/>
        </w:rPr>
        <w:t xml:space="preserve">From our perspective, both option 3 and option 4 can be supported to solve the integer ambiguity. But </w:t>
      </w:r>
      <w:r>
        <w:rPr>
          <w:rFonts w:hint="eastAsia" w:ascii="Times New Roman" w:hAnsi="Times New Roman" w:eastAsia="宋体"/>
          <w:sz w:val="20"/>
          <w:szCs w:val="20"/>
          <w:highlight w:val="none"/>
        </w:rPr>
        <w:t>we believe that option 4 is more feasible</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rPr>
        <w:t xml:space="preserve">because </w:t>
      </w:r>
      <w:r>
        <w:rPr>
          <w:rFonts w:hint="eastAsia" w:ascii="Times New Roman" w:hAnsi="Times New Roman" w:eastAsia="宋体"/>
          <w:sz w:val="20"/>
          <w:szCs w:val="20"/>
          <w:highlight w:val="none"/>
          <w:lang w:val="en-US" w:eastAsia="zh-CN"/>
        </w:rPr>
        <w:t xml:space="preserve">in general, </w:t>
      </w:r>
      <w:r>
        <w:rPr>
          <w:rFonts w:hint="eastAsia" w:ascii="Times New Roman" w:hAnsi="Times New Roman" w:eastAsia="宋体"/>
          <w:sz w:val="20"/>
          <w:szCs w:val="20"/>
          <w:highlight w:val="none"/>
        </w:rPr>
        <w:t>LMF</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rPr>
        <w:t>has more location information or measurement results than UE/TRP. LMF holds all the measurement results that UE/TRP reported, not only from the target UE, and LMF can estimate/calculate a more reasonable integer ambiguity for the target UE.</w:t>
      </w:r>
    </w:p>
    <w:p>
      <w:pPr>
        <w:pStyle w:val="96"/>
        <w:snapToGrid w:val="0"/>
        <w:spacing w:before="180" w:beforeLines="50" w:afterLines="50" w:line="240" w:lineRule="auto"/>
        <w:ind w:left="0"/>
        <w:jc w:val="both"/>
        <w:rPr>
          <w:sz w:val="20"/>
          <w:highlight w:val="none"/>
          <w:lang w:eastAsia="zh-CN"/>
        </w:rPr>
      </w:pPr>
      <w:r>
        <w:rPr>
          <w:rFonts w:hint="eastAsia"/>
          <w:sz w:val="20"/>
          <w:highlight w:val="none"/>
          <w:lang w:eastAsia="zh-CN"/>
        </w:rPr>
        <w:t>Therefore, option 4 is our first preference. If there are other benefits proposed concerning UE/TRP reporting the estimated integer ambiguity, option 3 can also be supported. Hence, we have the following proposal.</w:t>
      </w:r>
    </w:p>
    <w:p>
      <w:pPr>
        <w:pStyle w:val="13"/>
        <w:adjustRightInd w:val="0"/>
        <w:snapToGrid w:val="0"/>
        <w:spacing w:before="180" w:beforeLines="50" w:after="180" w:afterLines="50"/>
        <w:jc w:val="both"/>
        <w:rPr>
          <w:i/>
          <w:iCs/>
          <w:highlight w:val="none"/>
        </w:rPr>
      </w:pPr>
      <w:bookmarkStart w:id="21" w:name="_Ref12793"/>
      <w:r>
        <w:rPr>
          <w:i/>
          <w:iCs/>
          <w:highlight w:val="none"/>
        </w:rPr>
        <w:t xml:space="preserve">Proposal </w:t>
      </w:r>
      <w:r>
        <w:rPr>
          <w:i/>
          <w:iCs/>
          <w:highlight w:val="none"/>
        </w:rPr>
        <w:fldChar w:fldCharType="begin"/>
      </w:r>
      <w:r>
        <w:rPr>
          <w:i/>
          <w:iCs/>
          <w:highlight w:val="none"/>
        </w:rPr>
        <w:instrText xml:space="preserve"> SEQ Proposal \* ARABIC </w:instrText>
      </w:r>
      <w:r>
        <w:rPr>
          <w:i/>
          <w:iCs/>
          <w:highlight w:val="none"/>
        </w:rPr>
        <w:fldChar w:fldCharType="separate"/>
      </w:r>
      <w:r>
        <w:rPr>
          <w:i/>
          <w:iCs/>
          <w:highlight w:val="none"/>
        </w:rPr>
        <w:t>10</w:t>
      </w:r>
      <w:r>
        <w:rPr>
          <w:i/>
          <w:iCs/>
          <w:highlight w:val="none"/>
        </w:rPr>
        <w:fldChar w:fldCharType="end"/>
      </w:r>
      <w:r>
        <w:rPr>
          <w:i/>
          <w:iCs/>
          <w:highlight w:val="none"/>
        </w:rPr>
        <w:t xml:space="preserve">: </w:t>
      </w:r>
      <w:r>
        <w:rPr>
          <w:rFonts w:hint="eastAsia"/>
          <w:i/>
          <w:iCs/>
          <w:highlight w:val="none"/>
          <w:lang w:val="en-US" w:eastAsia="zh-CN"/>
        </w:rPr>
        <w:t xml:space="preserve">For signalling concerning the integer ambiguity, at least support LMF providing the range </w:t>
      </w:r>
      <w:r>
        <w:rPr>
          <w:i/>
          <w:iCs/>
          <w:highlight w:val="none"/>
        </w:rPr>
        <w:t xml:space="preserve">of integer </w:t>
      </w:r>
      <w:r>
        <w:rPr>
          <w:rFonts w:hint="eastAsia"/>
          <w:i/>
          <w:iCs/>
          <w:highlight w:val="none"/>
          <w:lang w:val="en-US" w:eastAsia="zh-CN"/>
        </w:rPr>
        <w:t xml:space="preserve">to UE </w:t>
      </w:r>
      <w:r>
        <w:rPr>
          <w:i/>
          <w:iCs/>
          <w:highlight w:val="none"/>
        </w:rPr>
        <w:t>for UE</w:t>
      </w:r>
      <w:r>
        <w:rPr>
          <w:rFonts w:hint="eastAsia"/>
          <w:i/>
          <w:iCs/>
          <w:highlight w:val="none"/>
          <w:lang w:val="en-US" w:eastAsia="zh-CN"/>
        </w:rPr>
        <w:t>-</w:t>
      </w:r>
      <w:r>
        <w:rPr>
          <w:i/>
          <w:iCs/>
          <w:highlight w:val="none"/>
        </w:rPr>
        <w:t xml:space="preserve">based </w:t>
      </w:r>
      <w:r>
        <w:rPr>
          <w:rFonts w:hint="eastAsia"/>
          <w:i/>
          <w:iCs/>
          <w:highlight w:val="none"/>
          <w:lang w:val="en-US" w:eastAsia="zh-CN"/>
        </w:rPr>
        <w:t xml:space="preserve">NR </w:t>
      </w:r>
      <w:r>
        <w:rPr>
          <w:i/>
          <w:iCs/>
          <w:highlight w:val="none"/>
        </w:rPr>
        <w:t>carrier phase positioning.</w:t>
      </w:r>
      <w:bookmarkEnd w:id="21"/>
    </w:p>
    <w:p>
      <w:pPr>
        <w:pStyle w:val="3"/>
        <w:snapToGrid w:val="0"/>
        <w:spacing w:line="240" w:lineRule="auto"/>
        <w:rPr>
          <w:sz w:val="24"/>
          <w:szCs w:val="24"/>
          <w:highlight w:val="none"/>
        </w:rPr>
      </w:pPr>
      <w:r>
        <w:rPr>
          <w:rFonts w:hint="eastAsia"/>
          <w:sz w:val="24"/>
          <w:szCs w:val="24"/>
          <w:highlight w:val="none"/>
          <w:lang w:val="en-US"/>
        </w:rPr>
        <w:t>Phase Error Group</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As mentioned in the last meeting, a</w:t>
      </w:r>
      <w:r>
        <w:rPr>
          <w:rFonts w:ascii="Times New Roman" w:hAnsi="Times New Roman" w:eastAsia="宋体"/>
          <w:sz w:val="20"/>
          <w:szCs w:val="20"/>
          <w:highlight w:val="none"/>
        </w:rPr>
        <w:t xml:space="preserve"> UE/TRP may have several Tx/Rx antenna panels with different Tx/Rx chains, which may lead to RF signals that are transmitted and/or received through various RF chains, </w:t>
      </w:r>
      <w:r>
        <w:rPr>
          <w:rFonts w:hint="eastAsia" w:ascii="Times New Roman" w:hAnsi="Times New Roman" w:eastAsia="宋体"/>
          <w:sz w:val="20"/>
          <w:szCs w:val="20"/>
          <w:highlight w:val="none"/>
        </w:rPr>
        <w:t xml:space="preserve">and </w:t>
      </w:r>
      <w:r>
        <w:rPr>
          <w:rFonts w:ascii="Times New Roman" w:hAnsi="Times New Roman" w:eastAsia="宋体"/>
          <w:sz w:val="20"/>
          <w:szCs w:val="20"/>
          <w:highlight w:val="none"/>
        </w:rPr>
        <w:t>experience distinct group delays. To address the impact of the phase delays on Tx/Rx RF chains</w:t>
      </w:r>
      <w:r>
        <w:rPr>
          <w:rFonts w:hint="eastAsia" w:ascii="Times New Roman" w:hAnsi="Times New Roman" w:eastAsia="宋体"/>
          <w:sz w:val="20"/>
          <w:szCs w:val="20"/>
          <w:highlight w:val="none"/>
        </w:rPr>
        <w:t xml:space="preserve">, </w:t>
      </w:r>
      <w:r>
        <w:rPr>
          <w:rFonts w:ascii="Times New Roman" w:hAnsi="Times New Roman" w:eastAsia="宋体"/>
          <w:sz w:val="20"/>
          <w:szCs w:val="20"/>
          <w:highlight w:val="none"/>
        </w:rPr>
        <w:t xml:space="preserve">the following </w:t>
      </w:r>
      <w:r>
        <w:rPr>
          <w:rFonts w:hint="eastAsia" w:ascii="Times New Roman" w:hAnsi="Times New Roman" w:eastAsia="宋体"/>
          <w:sz w:val="20"/>
          <w:szCs w:val="20"/>
          <w:highlight w:val="none"/>
        </w:rPr>
        <w:t>agreement was achieved in 3GPP RAN1#112bis-e [</w:t>
      </w:r>
      <w:r>
        <w:rPr>
          <w:rFonts w:hint="eastAsia" w:ascii="Times New Roman" w:hAnsi="Times New Roman" w:eastAsia="宋体"/>
          <w:sz w:val="20"/>
          <w:szCs w:val="20"/>
          <w:highlight w:val="none"/>
          <w:lang w:val="en-US" w:eastAsia="zh-CN"/>
        </w:rPr>
        <w:t>2</w:t>
      </w:r>
      <w:r>
        <w:rPr>
          <w:rFonts w:hint="eastAsia" w:ascii="Times New Roman" w:hAnsi="Times New Roman" w:eastAsia="宋体"/>
          <w:sz w:val="20"/>
          <w:szCs w:val="20"/>
          <w:highlight w:val="none"/>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9" w:hRule="atLeast"/>
        </w:trPr>
        <w:tc>
          <w:tcPr>
            <w:tcW w:w="10340" w:type="dxa"/>
          </w:tcPr>
          <w:p>
            <w:pPr>
              <w:adjustRightInd w:val="0"/>
              <w:snapToGrid w:val="0"/>
              <w:spacing w:after="0" w:line="240" w:lineRule="auto"/>
              <w:rPr>
                <w:rFonts w:ascii="Times New Roman" w:hAnsi="Times New Roman"/>
                <w:bCs/>
                <w:sz w:val="20"/>
                <w:szCs w:val="20"/>
                <w:highlight w:val="none"/>
              </w:rPr>
            </w:pPr>
            <w:r>
              <w:rPr>
                <w:rFonts w:ascii="Times New Roman" w:hAnsi="Times New Roman"/>
                <w:b/>
                <w:sz w:val="20"/>
                <w:szCs w:val="20"/>
                <w:highlight w:val="none"/>
                <w:u w:val="single"/>
              </w:rPr>
              <w:t>Agreement</w:t>
            </w:r>
          </w:p>
          <w:p>
            <w:pPr>
              <w:adjustRightInd w:val="0"/>
              <w:snapToGrid w:val="0"/>
              <w:spacing w:after="0" w:line="240" w:lineRule="auto"/>
              <w:rPr>
                <w:rFonts w:ascii="Times New Roman" w:hAnsi="Times New Roman" w:eastAsia="宋体"/>
                <w:bCs/>
                <w:iCs/>
                <w:sz w:val="20"/>
                <w:szCs w:val="20"/>
                <w:highlight w:val="none"/>
              </w:rPr>
            </w:pPr>
            <w:r>
              <w:rPr>
                <w:rFonts w:ascii="Times New Roman" w:hAnsi="Times New Roman"/>
                <w:bCs/>
                <w:iCs/>
                <w:sz w:val="20"/>
                <w:szCs w:val="20"/>
                <w:highlight w:val="none"/>
              </w:rPr>
              <w:t>To address the impact of the phase delays on Tx/Rx RF chains, support one or more of the following options (down-selection in RAN1#113):</w:t>
            </w:r>
          </w:p>
          <w:p>
            <w:pPr>
              <w:numPr>
                <w:ilvl w:val="0"/>
                <w:numId w:val="4"/>
              </w:numPr>
              <w:adjustRightInd w:val="0"/>
              <w:snapToGrid w:val="0"/>
              <w:spacing w:after="0" w:line="240" w:lineRule="auto"/>
              <w:contextualSpacing/>
              <w:rPr>
                <w:rFonts w:ascii="Times New Roman" w:hAnsi="Times New Roman"/>
                <w:bCs/>
                <w:iCs/>
                <w:sz w:val="20"/>
                <w:szCs w:val="20"/>
                <w:highlight w:val="none"/>
              </w:rPr>
            </w:pPr>
            <w:r>
              <w:rPr>
                <w:rFonts w:ascii="Times New Roman" w:hAnsi="Times New Roman"/>
                <w:bCs/>
                <w:sz w:val="20"/>
                <w:szCs w:val="20"/>
                <w:highlight w:val="none"/>
              </w:rPr>
              <w:t>Option 1a: introduce the definition of UE/TRP Tx/Rx phase error groups (PEGs) for the Tx/Rx of DL PRS/UL SRS signals</w:t>
            </w:r>
            <w:r>
              <w:rPr>
                <w:rFonts w:ascii="Times New Roman" w:hAnsi="Times New Roman"/>
                <w:bCs/>
                <w:iCs/>
                <w:sz w:val="20"/>
                <w:szCs w:val="20"/>
                <w:highlight w:val="none"/>
              </w:rPr>
              <w:t xml:space="preserve"> </w:t>
            </w:r>
          </w:p>
          <w:p>
            <w:pPr>
              <w:numPr>
                <w:ilvl w:val="1"/>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iCs/>
                <w:sz w:val="20"/>
                <w:szCs w:val="20"/>
                <w:highlight w:val="none"/>
              </w:rPr>
              <w:t>Rel-17 definitions of UE/TRP Tx/Rx TEGs can be used as the starting point for defining UE/TRP Tx/Rx PEGs.</w:t>
            </w:r>
          </w:p>
          <w:p>
            <w:pPr>
              <w:numPr>
                <w:ilvl w:val="1"/>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iCs/>
                <w:sz w:val="20"/>
                <w:szCs w:val="20"/>
                <w:highlight w:val="none"/>
              </w:rPr>
              <w:t>FFS: the details of the UE/TRP Tx/Rx PEGs</w:t>
            </w:r>
          </w:p>
          <w:p>
            <w:pPr>
              <w:numPr>
                <w:ilvl w:val="0"/>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iCs/>
                <w:sz w:val="20"/>
                <w:szCs w:val="20"/>
                <w:highlight w:val="none"/>
              </w:rPr>
              <w:t>Option 1b: Introduce Tx/Rx RF antenna IDs or Tx/Rx RF chain IDs to identify the individual Tx/Rx RF chains for transmitting/receiving the DL PRS/UL SRS signals.</w:t>
            </w:r>
            <w:r>
              <w:rPr>
                <w:rFonts w:ascii="Times New Roman" w:hAnsi="Times New Roman"/>
                <w:bCs/>
                <w:sz w:val="20"/>
                <w:szCs w:val="20"/>
                <w:highlight w:val="none"/>
              </w:rPr>
              <w:t xml:space="preserve"> </w:t>
            </w:r>
          </w:p>
          <w:p>
            <w:pPr>
              <w:numPr>
                <w:ilvl w:val="1"/>
                <w:numId w:val="4"/>
              </w:numPr>
              <w:adjustRightInd w:val="0"/>
              <w:snapToGrid w:val="0"/>
              <w:spacing w:after="0" w:line="240" w:lineRule="auto"/>
              <w:contextualSpacing/>
              <w:rPr>
                <w:rFonts w:ascii="Times New Roman" w:hAnsi="Times New Roman"/>
                <w:bCs/>
                <w:iCs/>
                <w:sz w:val="20"/>
                <w:szCs w:val="20"/>
                <w:highlight w:val="none"/>
              </w:rPr>
            </w:pPr>
            <w:r>
              <w:rPr>
                <w:rFonts w:ascii="Times New Roman" w:hAnsi="Times New Roman"/>
                <w:bCs/>
                <w:iCs/>
                <w:sz w:val="20"/>
                <w:szCs w:val="20"/>
                <w:highlight w:val="none"/>
              </w:rPr>
              <w:t>FFS: the details of the Tx/Rx RF antenna IDs or Tx/Rx RF chain IDs</w:t>
            </w:r>
          </w:p>
          <w:p>
            <w:pPr>
              <w:numPr>
                <w:ilvl w:val="1"/>
                <w:numId w:val="4"/>
              </w:numPr>
              <w:adjustRightInd w:val="0"/>
              <w:snapToGrid w:val="0"/>
              <w:spacing w:after="0" w:line="240" w:lineRule="auto"/>
              <w:contextualSpacing/>
              <w:rPr>
                <w:rFonts w:ascii="Times New Roman" w:hAnsi="Times New Roman"/>
                <w:bCs/>
                <w:sz w:val="20"/>
                <w:szCs w:val="20"/>
                <w:highlight w:val="none"/>
              </w:rPr>
            </w:pPr>
            <w:r>
              <w:rPr>
                <w:rFonts w:ascii="Times New Roman" w:hAnsi="Times New Roman"/>
                <w:bCs/>
                <w:sz w:val="20"/>
                <w:szCs w:val="20"/>
                <w:highlight w:val="none"/>
              </w:rPr>
              <w:t>Note: Device transmitting PRS or positioning SRS provides Tx antenna ID or Tx Chain ID. Device receiving PRS or positioning SRS provides Rx antenna ID or Rx Chain ID</w:t>
            </w:r>
            <w:r>
              <w:rPr>
                <w:rFonts w:ascii="Times New Roman" w:hAnsi="Times New Roman"/>
                <w:bCs/>
                <w:iCs/>
                <w:sz w:val="20"/>
                <w:szCs w:val="20"/>
                <w:highlight w:val="none"/>
              </w:rPr>
              <w:t>.</w:t>
            </w:r>
          </w:p>
          <w:p>
            <w:pPr>
              <w:numPr>
                <w:ilvl w:val="0"/>
                <w:numId w:val="4"/>
              </w:numPr>
              <w:adjustRightInd w:val="0"/>
              <w:snapToGrid w:val="0"/>
              <w:spacing w:after="0" w:line="240" w:lineRule="auto"/>
              <w:contextualSpacing/>
              <w:rPr>
                <w:rFonts w:ascii="Times New Roman" w:hAnsi="Times New Roman"/>
                <w:bCs/>
                <w:iCs/>
                <w:sz w:val="20"/>
                <w:szCs w:val="20"/>
                <w:highlight w:val="none"/>
              </w:rPr>
            </w:pPr>
            <w:r>
              <w:rPr>
                <w:rFonts w:ascii="Times New Roman" w:hAnsi="Times New Roman"/>
                <w:bCs/>
                <w:sz w:val="20"/>
                <w:szCs w:val="20"/>
                <w:highlight w:val="none"/>
              </w:rPr>
              <w:t>Option 1c: introduce the report of ARP ID for the Rx/Tx of DL PRS/UL SRS signals.</w:t>
            </w:r>
            <w:r>
              <w:rPr>
                <w:rFonts w:ascii="Times New Roman" w:hAnsi="Times New Roman"/>
                <w:bCs/>
                <w:iCs/>
                <w:sz w:val="20"/>
                <w:szCs w:val="20"/>
                <w:highlight w:val="none"/>
              </w:rPr>
              <w:t xml:space="preserve"> </w:t>
            </w:r>
          </w:p>
          <w:p>
            <w:pPr>
              <w:numPr>
                <w:ilvl w:val="1"/>
                <w:numId w:val="4"/>
              </w:numPr>
              <w:adjustRightInd w:val="0"/>
              <w:snapToGrid w:val="0"/>
              <w:spacing w:after="0" w:line="240" w:lineRule="auto"/>
              <w:contextualSpacing/>
              <w:rPr>
                <w:rFonts w:ascii="Times New Roman" w:hAnsi="Times New Roman"/>
                <w:bCs/>
                <w:iCs/>
                <w:sz w:val="20"/>
                <w:szCs w:val="20"/>
                <w:highlight w:val="none"/>
              </w:rPr>
            </w:pPr>
            <w:r>
              <w:rPr>
                <w:rFonts w:ascii="Times New Roman" w:hAnsi="Times New Roman"/>
                <w:bCs/>
                <w:sz w:val="20"/>
                <w:szCs w:val="20"/>
                <w:highlight w:val="none"/>
              </w:rPr>
              <w:t>The transmission/reception associated with the same ARP ID is assumed from the same ARP.</w:t>
            </w:r>
          </w:p>
          <w:p>
            <w:pPr>
              <w:numPr>
                <w:ilvl w:val="1"/>
                <w:numId w:val="4"/>
              </w:numPr>
              <w:adjustRightInd w:val="0"/>
              <w:snapToGrid w:val="0"/>
              <w:spacing w:after="0" w:line="240" w:lineRule="auto"/>
              <w:contextualSpacing/>
              <w:rPr>
                <w:rFonts w:ascii="Times New Roman" w:hAnsi="Times New Roman"/>
                <w:bCs/>
                <w:iCs/>
                <w:sz w:val="20"/>
                <w:szCs w:val="20"/>
                <w:highlight w:val="none"/>
              </w:rPr>
            </w:pPr>
            <w:r>
              <w:rPr>
                <w:rFonts w:ascii="Times New Roman" w:hAnsi="Times New Roman"/>
                <w:bCs/>
                <w:sz w:val="20"/>
                <w:szCs w:val="20"/>
                <w:highlight w:val="none"/>
              </w:rPr>
              <w:t>FFS: the maximum number of ARP IDs.</w:t>
            </w:r>
          </w:p>
          <w:p>
            <w:pPr>
              <w:numPr>
                <w:ilvl w:val="0"/>
                <w:numId w:val="4"/>
              </w:numPr>
              <w:adjustRightInd w:val="0"/>
              <w:snapToGrid w:val="0"/>
              <w:spacing w:after="0" w:line="240" w:lineRule="auto"/>
              <w:contextualSpacing/>
              <w:rPr>
                <w:rFonts w:ascii="Times New Roman" w:hAnsi="Times New Roman"/>
                <w:sz w:val="20"/>
                <w:szCs w:val="20"/>
                <w:highlight w:val="none"/>
              </w:rPr>
            </w:pPr>
            <w:r>
              <w:rPr>
                <w:rFonts w:ascii="Times New Roman" w:hAnsi="Times New Roman"/>
                <w:bCs/>
                <w:iCs/>
                <w:sz w:val="20"/>
                <w:szCs w:val="20"/>
                <w:highlight w:val="none"/>
              </w:rPr>
              <w:t>Option 2: reuse or enhance the existing Rel-17 definitions of UE/TRP Tx/Rx TEGs with smaller margin value.</w:t>
            </w:r>
          </w:p>
          <w:p>
            <w:pPr>
              <w:numPr>
                <w:ilvl w:val="0"/>
                <w:numId w:val="4"/>
              </w:numPr>
              <w:adjustRightInd w:val="0"/>
              <w:snapToGrid w:val="0"/>
              <w:spacing w:after="0" w:line="240" w:lineRule="auto"/>
              <w:contextualSpacing/>
              <w:rPr>
                <w:highlight w:val="none"/>
              </w:rPr>
            </w:pPr>
            <w:r>
              <w:rPr>
                <w:rFonts w:ascii="Times New Roman" w:hAnsi="Times New Roman"/>
                <w:bCs/>
                <w:sz w:val="20"/>
                <w:szCs w:val="20"/>
                <w:highlight w:val="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rFonts w:ascii="Times New Roman" w:hAnsi="Times New Roman"/>
                <w:bCs/>
                <w:iCs/>
                <w:sz w:val="20"/>
                <w:szCs w:val="20"/>
                <w:highlight w:val="none"/>
              </w:rPr>
              <w:t>reuse or enhance the existing Rel-17 definitions of UE/TRP Tx/Rx TEGs with smaller margin value,</w:t>
            </w:r>
            <w:r>
              <w:rPr>
                <w:rFonts w:ascii="Times New Roman" w:hAnsi="Times New Roman"/>
                <w:bCs/>
                <w:sz w:val="20"/>
                <w:szCs w:val="20"/>
                <w:highlight w:val="none"/>
              </w:rPr>
              <w:t xml:space="preserve"> and provide the definitions if RAN4 decides it is needed.</w:t>
            </w:r>
          </w:p>
        </w:tc>
      </w:tr>
    </w:tbl>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In Rel-17, RAN1 has introduced the Timing Error Group</w:t>
      </w:r>
      <w:r>
        <w:rPr>
          <w:rFonts w:hint="eastAsia" w:ascii="Times New Roman" w:hAnsi="Times New Roman"/>
          <w:sz w:val="20"/>
          <w:szCs w:val="20"/>
          <w:highlight w:val="none"/>
        </w:rPr>
        <w:t xml:space="preserve"> (TEG)</w:t>
      </w:r>
      <w:r>
        <w:rPr>
          <w:rFonts w:ascii="Times New Roman" w:hAnsi="Times New Roman"/>
          <w:sz w:val="20"/>
          <w:szCs w:val="20"/>
          <w:highlight w:val="none"/>
        </w:rPr>
        <w:t xml:space="preserve"> to address the group delays for timing measurements. For carrier phase positioning, </w:t>
      </w:r>
      <w:r>
        <w:rPr>
          <w:rFonts w:hint="eastAsia" w:ascii="Times New Roman" w:hAnsi="Times New Roman"/>
          <w:sz w:val="20"/>
          <w:szCs w:val="20"/>
          <w:highlight w:val="none"/>
        </w:rPr>
        <w:t>it</w:t>
      </w:r>
      <w:r>
        <w:rPr>
          <w:rFonts w:ascii="Times New Roman" w:hAnsi="Times New Roman"/>
          <w:sz w:val="20"/>
          <w:szCs w:val="20"/>
          <w:highlight w:val="none"/>
        </w:rPr>
        <w:t>’</w:t>
      </w:r>
      <w:r>
        <w:rPr>
          <w:rFonts w:hint="eastAsia" w:ascii="Times New Roman" w:hAnsi="Times New Roman"/>
          <w:sz w:val="20"/>
          <w:szCs w:val="20"/>
          <w:highlight w:val="none"/>
        </w:rPr>
        <w:t>s feasible</w:t>
      </w:r>
      <w:r>
        <w:rPr>
          <w:rFonts w:ascii="Times New Roman" w:hAnsi="Times New Roman"/>
          <w:sz w:val="20"/>
          <w:szCs w:val="20"/>
          <w:highlight w:val="none"/>
        </w:rPr>
        <w:t xml:space="preserve"> to introduce </w:t>
      </w:r>
      <w:r>
        <w:rPr>
          <w:rFonts w:hint="eastAsia" w:ascii="Times New Roman" w:hAnsi="Times New Roman"/>
          <w:sz w:val="20"/>
          <w:szCs w:val="20"/>
          <w:highlight w:val="none"/>
        </w:rPr>
        <w:t xml:space="preserve">a </w:t>
      </w:r>
      <w:r>
        <w:rPr>
          <w:rFonts w:ascii="Times New Roman" w:hAnsi="Times New Roman"/>
          <w:sz w:val="20"/>
          <w:szCs w:val="20"/>
          <w:highlight w:val="none"/>
        </w:rPr>
        <w:t xml:space="preserve">new definition of UE/TRP Rx/Tx phase error groups to address the group delays </w:t>
      </w:r>
      <w:r>
        <w:rPr>
          <w:rFonts w:hint="eastAsia" w:ascii="Times New Roman" w:hAnsi="Times New Roman"/>
          <w:sz w:val="20"/>
          <w:szCs w:val="20"/>
          <w:highlight w:val="none"/>
        </w:rPr>
        <w:t>i</w:t>
      </w:r>
      <w:r>
        <w:rPr>
          <w:rFonts w:ascii="Times New Roman" w:hAnsi="Times New Roman"/>
          <w:sz w:val="20"/>
          <w:szCs w:val="20"/>
          <w:highlight w:val="none"/>
        </w:rPr>
        <w:t>n the phase measurements. A gNB (or TRP) or UE may be equipped with multiple antennas (including transmission antenna,</w:t>
      </w:r>
      <w:r>
        <w:rPr>
          <w:rFonts w:hint="eastAsia" w:ascii="Times New Roman" w:hAnsi="Times New Roman"/>
          <w:sz w:val="20"/>
          <w:szCs w:val="20"/>
          <w:highlight w:val="none"/>
        </w:rPr>
        <w:t xml:space="preserve"> and</w:t>
      </w:r>
      <w:r>
        <w:rPr>
          <w:rFonts w:ascii="Times New Roman" w:hAnsi="Times New Roman"/>
          <w:sz w:val="20"/>
          <w:szCs w:val="20"/>
          <w:highlight w:val="none"/>
        </w:rPr>
        <w:t xml:space="preserve"> reception antenna). Different antenna</w:t>
      </w:r>
      <w:r>
        <w:rPr>
          <w:rFonts w:hint="eastAsia" w:ascii="Times New Roman" w:hAnsi="Times New Roman"/>
          <w:sz w:val="20"/>
          <w:szCs w:val="20"/>
          <w:highlight w:val="none"/>
        </w:rPr>
        <w:t>s</w:t>
      </w:r>
      <w:r>
        <w:rPr>
          <w:rFonts w:ascii="Times New Roman" w:hAnsi="Times New Roman"/>
          <w:sz w:val="20"/>
          <w:szCs w:val="20"/>
          <w:highlight w:val="none"/>
        </w:rPr>
        <w:t xml:space="preserve"> may have different phase error</w:t>
      </w:r>
      <w:r>
        <w:rPr>
          <w:rFonts w:hint="eastAsia" w:ascii="Times New Roman" w:hAnsi="Times New Roman"/>
          <w:sz w:val="20"/>
          <w:szCs w:val="20"/>
          <w:highlight w:val="none"/>
        </w:rPr>
        <w:t>s</w:t>
      </w:r>
      <w:r>
        <w:rPr>
          <w:rFonts w:ascii="Times New Roman" w:hAnsi="Times New Roman"/>
          <w:sz w:val="20"/>
          <w:szCs w:val="20"/>
          <w:highlight w:val="none"/>
        </w:rPr>
        <w:t xml:space="preserve"> when performing carrier phase measurement</w:t>
      </w:r>
      <w:r>
        <w:rPr>
          <w:rFonts w:hint="eastAsia" w:ascii="Times New Roman" w:hAnsi="Times New Roman"/>
          <w:sz w:val="20"/>
          <w:szCs w:val="20"/>
          <w:highlight w:val="none"/>
        </w:rPr>
        <w:t>s</w:t>
      </w:r>
      <w:r>
        <w:rPr>
          <w:rFonts w:ascii="Times New Roman" w:hAnsi="Times New Roman"/>
          <w:sz w:val="20"/>
          <w:szCs w:val="20"/>
          <w:highlight w:val="none"/>
        </w:rPr>
        <w:t xml:space="preserve">. As the following figure, it is appropriate to measure </w:t>
      </w:r>
      <w:r>
        <w:rPr>
          <w:rFonts w:hint="eastAsia" w:ascii="Times New Roman" w:hAnsi="Times New Roman"/>
          <w:sz w:val="20"/>
          <w:szCs w:val="20"/>
          <w:highlight w:val="none"/>
        </w:rPr>
        <w:t xml:space="preserve">the </w:t>
      </w:r>
      <w:r>
        <w:rPr>
          <w:rFonts w:ascii="Times New Roman" w:hAnsi="Times New Roman"/>
          <w:sz w:val="20"/>
          <w:szCs w:val="20"/>
          <w:highlight w:val="none"/>
        </w:rPr>
        <w:t>carrier phase with the antenna(s) within a phase error group (PEG)</w:t>
      </w:r>
      <w:r>
        <w:rPr>
          <w:rFonts w:hint="eastAsia" w:ascii="Times New Roman" w:hAnsi="Times New Roman"/>
          <w:sz w:val="20"/>
          <w:szCs w:val="20"/>
          <w:highlight w:val="none"/>
        </w:rPr>
        <w:t xml:space="preserve"> which is similar to TEG defined in Rel-17</w:t>
      </w:r>
      <w:r>
        <w:rPr>
          <w:rFonts w:ascii="Times New Roman" w:hAnsi="Times New Roman"/>
          <w:sz w:val="20"/>
          <w:szCs w:val="20"/>
          <w:highlight w:val="none"/>
        </w:rPr>
        <w:t>.</w:t>
      </w:r>
      <w:r>
        <w:rPr>
          <w:rFonts w:hint="eastAsia" w:ascii="Times New Roman" w:hAnsi="Times New Roman"/>
          <w:sz w:val="20"/>
          <w:szCs w:val="20"/>
          <w:highlight w:val="none"/>
        </w:rPr>
        <w:t xml:space="preserve"> More specifically, one or more antennas within a phase error margin can be grouped into a PEG.</w:t>
      </w:r>
      <w:r>
        <w:rPr>
          <w:rFonts w:ascii="Times New Roman" w:hAnsi="Times New Roman"/>
          <w:sz w:val="20"/>
          <w:szCs w:val="20"/>
          <w:highlight w:val="none"/>
        </w:rPr>
        <w:t xml:space="preserve"> </w:t>
      </w:r>
    </w:p>
    <w:p>
      <w:pPr>
        <w:widowControl w:val="0"/>
        <w:snapToGrid w:val="0"/>
        <w:spacing w:before="180" w:beforeLines="50" w:after="180" w:afterLines="50" w:line="240" w:lineRule="auto"/>
        <w:jc w:val="center"/>
        <w:rPr>
          <w:highlight w:val="none"/>
        </w:rPr>
      </w:pPr>
      <w:r>
        <w:rPr>
          <w:highlight w:val="none"/>
        </w:rPr>
        <w:object>
          <v:shape id="_x0000_i1029" o:spt="75" type="#_x0000_t75" style="height:121.15pt;width:120.75pt;" o:ole="t" filled="f" o:preferrelative="t" stroked="f" coordsize="21600,21600">
            <v:path/>
            <v:fill on="f" focussize="0,0"/>
            <v:stroke on="f" joinstyle="miter"/>
            <v:imagedata r:id="rId22" o:title=""/>
            <o:lock v:ext="edit" aspectratio="t"/>
            <w10:wrap type="none"/>
            <w10:anchorlock/>
          </v:shape>
          <o:OLEObject Type="Embed" ProgID="Visio.Drawing.11" ShapeID="_x0000_i1029" DrawAspect="Content" ObjectID="_1468075729" r:id="rId21">
            <o:LockedField>false</o:LockedField>
          </o:OLEObject>
        </w:object>
      </w:r>
    </w:p>
    <w:p>
      <w:pPr>
        <w:pStyle w:val="13"/>
        <w:widowControl w:val="0"/>
        <w:snapToGrid w:val="0"/>
        <w:spacing w:before="180" w:beforeLines="50" w:after="180" w:afterLines="50"/>
        <w:jc w:val="center"/>
        <w:rPr>
          <w:highlight w:val="none"/>
          <w:lang w:eastAsia="zh-CN"/>
        </w:rPr>
      </w:pPr>
      <w:r>
        <w:rPr>
          <w:b w:val="0"/>
          <w:bCs w:val="0"/>
          <w:highlight w:val="none"/>
        </w:rPr>
        <w:t xml:space="preserve">Figure </w:t>
      </w:r>
      <w:r>
        <w:rPr>
          <w:b w:val="0"/>
          <w:bCs w:val="0"/>
          <w:highlight w:val="none"/>
        </w:rPr>
        <w:fldChar w:fldCharType="begin"/>
      </w:r>
      <w:r>
        <w:rPr>
          <w:b w:val="0"/>
          <w:bCs w:val="0"/>
          <w:highlight w:val="none"/>
        </w:rPr>
        <w:instrText xml:space="preserve"> SEQ Figure \* ARABIC </w:instrText>
      </w:r>
      <w:r>
        <w:rPr>
          <w:b w:val="0"/>
          <w:bCs w:val="0"/>
          <w:highlight w:val="none"/>
        </w:rPr>
        <w:fldChar w:fldCharType="separate"/>
      </w:r>
      <w:r>
        <w:rPr>
          <w:b w:val="0"/>
          <w:bCs w:val="0"/>
          <w:highlight w:val="none"/>
        </w:rPr>
        <w:t>7</w:t>
      </w:r>
      <w:r>
        <w:rPr>
          <w:b w:val="0"/>
          <w:bCs w:val="0"/>
          <w:highlight w:val="none"/>
        </w:rPr>
        <w:fldChar w:fldCharType="end"/>
      </w:r>
      <w:r>
        <w:rPr>
          <w:rFonts w:hint="eastAsia"/>
          <w:b w:val="0"/>
          <w:bCs w:val="0"/>
          <w:highlight w:val="none"/>
          <w:lang w:val="en-US" w:eastAsia="zh-CN"/>
        </w:rPr>
        <w:t xml:space="preserve">. </w:t>
      </w:r>
      <w:r>
        <w:rPr>
          <w:b w:val="0"/>
          <w:bCs w:val="0"/>
          <w:highlight w:val="none"/>
        </w:rPr>
        <w:t>Conception for PEG</w:t>
      </w:r>
    </w:p>
    <w:p>
      <w:pPr>
        <w:pStyle w:val="56"/>
        <w:adjustRightInd w:val="0"/>
        <w:snapToGrid w:val="0"/>
        <w:ind w:firstLine="0" w:firstLineChars="0"/>
        <w:rPr>
          <w:kern w:val="0"/>
          <w:sz w:val="20"/>
          <w:szCs w:val="20"/>
          <w:highlight w:val="none"/>
        </w:rPr>
      </w:pPr>
      <w:r>
        <w:rPr>
          <w:kern w:val="0"/>
          <w:sz w:val="20"/>
          <w:szCs w:val="20"/>
          <w:highlight w:val="none"/>
        </w:rPr>
        <w:t xml:space="preserve">With </w:t>
      </w:r>
      <w:r>
        <w:rPr>
          <w:rFonts w:hint="eastAsia"/>
          <w:kern w:val="0"/>
          <w:sz w:val="20"/>
          <w:szCs w:val="20"/>
          <w:highlight w:val="none"/>
        </w:rPr>
        <w:t>the help of PEG</w:t>
      </w:r>
      <w:r>
        <w:rPr>
          <w:kern w:val="0"/>
          <w:sz w:val="20"/>
          <w:szCs w:val="20"/>
          <w:highlight w:val="none"/>
        </w:rPr>
        <w:t xml:space="preserve">, </w:t>
      </w:r>
      <w:r>
        <w:rPr>
          <w:rFonts w:hint="eastAsia"/>
          <w:kern w:val="0"/>
          <w:sz w:val="20"/>
          <w:szCs w:val="20"/>
          <w:highlight w:val="none"/>
        </w:rPr>
        <w:t>UE (for UE-based positioning method) or LMF (for UE-assisted/NG-RAN node-assisted positioning method)</w:t>
      </w:r>
      <w:r>
        <w:rPr>
          <w:kern w:val="0"/>
          <w:sz w:val="20"/>
          <w:szCs w:val="20"/>
          <w:highlight w:val="none"/>
        </w:rPr>
        <w:t xml:space="preserve"> can choose</w:t>
      </w:r>
      <w:r>
        <w:rPr>
          <w:rFonts w:hint="eastAsia"/>
          <w:kern w:val="0"/>
          <w:sz w:val="20"/>
          <w:szCs w:val="20"/>
          <w:highlight w:val="none"/>
        </w:rPr>
        <w:t xml:space="preserve"> the</w:t>
      </w:r>
      <w:r>
        <w:rPr>
          <w:kern w:val="0"/>
          <w:sz w:val="20"/>
          <w:szCs w:val="20"/>
          <w:highlight w:val="none"/>
        </w:rPr>
        <w:t xml:space="preserve"> appropriate antenna/PEG for </w:t>
      </w:r>
      <w:r>
        <w:rPr>
          <w:rFonts w:hint="eastAsia"/>
          <w:kern w:val="0"/>
          <w:sz w:val="20"/>
          <w:szCs w:val="20"/>
          <w:highlight w:val="none"/>
        </w:rPr>
        <w:t>location estimation with the measured and/or reported carrier phase</w:t>
      </w:r>
      <w:r>
        <w:rPr>
          <w:kern w:val="0"/>
          <w:sz w:val="20"/>
          <w:szCs w:val="20"/>
          <w:highlight w:val="none"/>
        </w:rPr>
        <w:t xml:space="preserve">. </w:t>
      </w:r>
      <w:r>
        <w:rPr>
          <w:rFonts w:hint="eastAsia"/>
          <w:kern w:val="0"/>
          <w:sz w:val="20"/>
          <w:szCs w:val="20"/>
          <w:highlight w:val="none"/>
        </w:rPr>
        <w:t>T</w:t>
      </w:r>
      <w:r>
        <w:rPr>
          <w:kern w:val="0"/>
          <w:sz w:val="20"/>
          <w:szCs w:val="20"/>
          <w:highlight w:val="none"/>
        </w:rPr>
        <w:t xml:space="preserve">he phase error can be </w:t>
      </w:r>
      <w:r>
        <w:rPr>
          <w:rFonts w:hint="eastAsia"/>
          <w:kern w:val="0"/>
          <w:sz w:val="20"/>
          <w:szCs w:val="20"/>
          <w:highlight w:val="none"/>
        </w:rPr>
        <w:t>minimized, and the positioning accuracy can be definitely improved. Taking these factors into consideration, option 1a should be supported.</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For option 1b, in our opinion, different RF chains or RF antennas may have different phase errors. Even with RF chain ID or RF antenna ID reported, the phase error is still unclear. More specifically, how to map the RF chain ID to phase error is another problem</w:t>
      </w:r>
      <w:r>
        <w:rPr>
          <w:rFonts w:hint="eastAsia" w:ascii="Times New Roman" w:hAnsi="Times New Roman"/>
          <w:sz w:val="20"/>
          <w:szCs w:val="20"/>
          <w:highlight w:val="none"/>
          <w:lang w:val="en-US" w:eastAsia="zh-CN"/>
        </w:rPr>
        <w:t xml:space="preserve"> from RAN1 specification perspective. Further, option 1b can also be implemented via option 1a, e.g. the PEG is configured for each RF chain. </w:t>
      </w:r>
      <w:r>
        <w:rPr>
          <w:rFonts w:hint="eastAsia" w:ascii="Times New Roman" w:hAnsi="Times New Roman"/>
          <w:sz w:val="20"/>
          <w:szCs w:val="20"/>
          <w:highlight w:val="none"/>
        </w:rPr>
        <w:t xml:space="preserve"> </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For option 1c, in the current specification, ARP ID has been introduced for TRP, and TRP will report the ARP ID together with the measurement result together to LMF for positioning purposes. </w:t>
      </w:r>
      <w:r>
        <w:rPr>
          <w:rFonts w:hint="eastAsia" w:ascii="Times New Roman" w:hAnsi="Times New Roman"/>
          <w:sz w:val="20"/>
          <w:szCs w:val="20"/>
          <w:highlight w:val="none"/>
          <w:lang w:val="en-US" w:eastAsia="zh-CN"/>
        </w:rPr>
        <w:t xml:space="preserve">Basically, ARP may have different coordinates from the corresponding TRP. </w:t>
      </w:r>
      <w:r>
        <w:rPr>
          <w:rFonts w:hint="eastAsia" w:ascii="Times New Roman" w:hAnsi="Times New Roman"/>
          <w:sz w:val="20"/>
          <w:szCs w:val="20"/>
          <w:highlight w:val="none"/>
        </w:rPr>
        <w:t>The option 1c is to specify the phase error on the UE side</w:t>
      </w:r>
      <w:r>
        <w:rPr>
          <w:rFonts w:hint="eastAsia" w:ascii="Times New Roman" w:hAnsi="Times New Roman"/>
          <w:sz w:val="20"/>
          <w:szCs w:val="20"/>
          <w:highlight w:val="none"/>
          <w:lang w:val="en-US" w:eastAsia="zh-CN"/>
        </w:rPr>
        <w:t xml:space="preserve"> by repurposing the definition of ARP</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it is not desirable since it may cause specification indigestible</w:t>
      </w:r>
      <w:r>
        <w:rPr>
          <w:rFonts w:hint="eastAsia" w:ascii="Times New Roman" w:hAnsi="Times New Roman"/>
          <w:sz w:val="20"/>
          <w:szCs w:val="20"/>
          <w:highlight w:val="none"/>
        </w:rPr>
        <w:t>.</w:t>
      </w:r>
    </w:p>
    <w:p>
      <w:pPr>
        <w:widowControl w:val="0"/>
        <w:adjustRightInd w:val="0"/>
        <w:snapToGrid w:val="0"/>
        <w:spacing w:before="180" w:beforeLines="50" w:after="180" w:afterLines="50" w:line="240" w:lineRule="auto"/>
        <w:jc w:val="both"/>
        <w:rPr>
          <w:rFonts w:ascii="Times New Roman" w:hAnsi="Times New Roman"/>
          <w:bCs/>
          <w:iCs/>
          <w:sz w:val="20"/>
          <w:szCs w:val="20"/>
          <w:highlight w:val="none"/>
        </w:rPr>
      </w:pPr>
      <w:r>
        <w:rPr>
          <w:rFonts w:hint="eastAsia" w:ascii="Times New Roman" w:hAnsi="Times New Roman"/>
          <w:sz w:val="20"/>
          <w:szCs w:val="20"/>
          <w:highlight w:val="none"/>
        </w:rPr>
        <w:t>For option 2, carrier phase measurement is more related to phase error evaluation, instead of timing error. The benefits of enhancing the current TEG for carrier phase measurement is not clear yet. Instead, it would be useful if we can clarify the relationship between PEG and TEG. Therefore, it would be better to define PEG, wherein the definition of TEG</w:t>
      </w:r>
      <w:r>
        <w:rPr>
          <w:rFonts w:ascii="Times New Roman" w:hAnsi="Times New Roman"/>
          <w:bCs/>
          <w:iCs/>
          <w:sz w:val="20"/>
          <w:szCs w:val="20"/>
          <w:highlight w:val="none"/>
        </w:rPr>
        <w:t>s can be used as the starting point for PEGs</w:t>
      </w:r>
      <w:r>
        <w:rPr>
          <w:rFonts w:hint="eastAsia" w:ascii="Times New Roman" w:hAnsi="Times New Roman"/>
          <w:bCs/>
          <w:iCs/>
          <w:sz w:val="20"/>
          <w:szCs w:val="20"/>
          <w:highlight w:val="none"/>
        </w:rPr>
        <w:t>, i.e., adopt the note in option 1a</w:t>
      </w:r>
      <w:r>
        <w:rPr>
          <w:rFonts w:ascii="Times New Roman" w:hAnsi="Times New Roman"/>
          <w:bCs/>
          <w:iCs/>
          <w:sz w:val="20"/>
          <w:szCs w:val="20"/>
          <w:highlight w:val="none"/>
        </w:rPr>
        <w:t>.</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bCs/>
          <w:iCs/>
          <w:sz w:val="20"/>
          <w:szCs w:val="20"/>
          <w:highlight w:val="none"/>
        </w:rPr>
        <w:t xml:space="preserve">As for option 3, from our point of view, this can be decided by RAN1, introducing PEG for carrier phase measurement is a feasible way to address the impact of the phase error. </w:t>
      </w:r>
      <w:r>
        <w:rPr>
          <w:rFonts w:ascii="Times New Roman" w:hAnsi="Times New Roman"/>
          <w:sz w:val="20"/>
          <w:szCs w:val="20"/>
          <w:highlight w:val="none"/>
        </w:rPr>
        <w:t>Hence, we have the following proposal</w:t>
      </w:r>
      <w:r>
        <w:rPr>
          <w:rFonts w:hint="eastAsia" w:ascii="Times New Roman" w:hAnsi="Times New Roman"/>
          <w:sz w:val="20"/>
          <w:szCs w:val="20"/>
          <w:highlight w:val="none"/>
        </w:rPr>
        <w:t>.</w:t>
      </w:r>
    </w:p>
    <w:p>
      <w:pPr>
        <w:adjustRightInd w:val="0"/>
        <w:snapToGrid w:val="0"/>
        <w:spacing w:after="0" w:line="240" w:lineRule="auto"/>
        <w:jc w:val="both"/>
        <w:rPr>
          <w:rFonts w:ascii="Times New Roman" w:hAnsi="Times New Roman" w:eastAsia="宋体"/>
          <w:b/>
          <w:i/>
          <w:sz w:val="20"/>
          <w:szCs w:val="20"/>
          <w:highlight w:val="none"/>
        </w:rPr>
      </w:pPr>
      <w:bookmarkStart w:id="22" w:name="_Ref12141"/>
      <w:bookmarkStart w:id="23" w:name="_Ref18405"/>
      <w:bookmarkStart w:id="24" w:name="_Ref6952"/>
      <w:r>
        <w:rPr>
          <w:rFonts w:ascii="Times New Roman" w:hAnsi="Times New Roman"/>
          <w:b/>
          <w:i/>
          <w:sz w:val="20"/>
          <w:szCs w:val="20"/>
          <w:highlight w:val="none"/>
        </w:rPr>
        <w:t xml:space="preserve">Proposal </w:t>
      </w:r>
      <w:r>
        <w:rPr>
          <w:rFonts w:ascii="Times New Roman" w:hAnsi="Times New Roman"/>
          <w:b/>
          <w:i/>
          <w:sz w:val="20"/>
          <w:szCs w:val="20"/>
          <w:highlight w:val="none"/>
        </w:rPr>
        <w:fldChar w:fldCharType="begin"/>
      </w:r>
      <w:r>
        <w:rPr>
          <w:rFonts w:ascii="Times New Roman" w:hAnsi="Times New Roman"/>
          <w:b/>
          <w:i/>
          <w:sz w:val="20"/>
          <w:szCs w:val="20"/>
          <w:highlight w:val="none"/>
        </w:rPr>
        <w:instrText xml:space="preserve"> SEQ Proposal \* ARABIC </w:instrText>
      </w:r>
      <w:r>
        <w:rPr>
          <w:rFonts w:ascii="Times New Roman" w:hAnsi="Times New Roman"/>
          <w:b/>
          <w:i/>
          <w:sz w:val="20"/>
          <w:szCs w:val="20"/>
          <w:highlight w:val="none"/>
        </w:rPr>
        <w:fldChar w:fldCharType="separate"/>
      </w:r>
      <w:r>
        <w:rPr>
          <w:rFonts w:ascii="Times New Roman" w:hAnsi="Times New Roman"/>
          <w:b/>
          <w:i/>
          <w:sz w:val="20"/>
          <w:szCs w:val="20"/>
          <w:highlight w:val="none"/>
        </w:rPr>
        <w:t>11</w:t>
      </w:r>
      <w:r>
        <w:rPr>
          <w:rFonts w:ascii="Times New Roman" w:hAnsi="Times New Roman"/>
          <w:b/>
          <w:i/>
          <w:sz w:val="20"/>
          <w:szCs w:val="20"/>
          <w:highlight w:val="none"/>
        </w:rPr>
        <w:fldChar w:fldCharType="end"/>
      </w:r>
      <w:r>
        <w:rPr>
          <w:rFonts w:hint="eastAsia" w:ascii="Times New Roman" w:hAnsi="Times New Roman"/>
          <w:b/>
          <w:i/>
          <w:sz w:val="20"/>
          <w:szCs w:val="20"/>
          <w:highlight w:val="none"/>
        </w:rPr>
        <w:t>:</w:t>
      </w:r>
      <w:r>
        <w:rPr>
          <w:rFonts w:ascii="Times New Roman" w:hAnsi="Times New Roman"/>
          <w:b/>
          <w:i/>
          <w:sz w:val="20"/>
          <w:szCs w:val="20"/>
          <w:highlight w:val="none"/>
        </w:rPr>
        <w:t xml:space="preserve"> </w:t>
      </w:r>
      <w:bookmarkEnd w:id="22"/>
      <w:bookmarkEnd w:id="23"/>
      <w:r>
        <w:rPr>
          <w:rFonts w:ascii="Times New Roman" w:hAnsi="Times New Roman"/>
          <w:b/>
          <w:i/>
          <w:sz w:val="20"/>
          <w:szCs w:val="20"/>
          <w:highlight w:val="none"/>
        </w:rPr>
        <w:t>To address the impact of the phase delays on Tx/Rx RF chains, support</w:t>
      </w:r>
      <w:r>
        <w:rPr>
          <w:rFonts w:hint="eastAsia" w:ascii="Times New Roman" w:hAnsi="Times New Roman"/>
          <w:b/>
          <w:i/>
          <w:sz w:val="20"/>
          <w:szCs w:val="20"/>
          <w:highlight w:val="none"/>
        </w:rPr>
        <w:t xml:space="preserve"> </w:t>
      </w:r>
      <w:r>
        <w:rPr>
          <w:rFonts w:ascii="Times New Roman" w:hAnsi="Times New Roman"/>
          <w:b/>
          <w:i/>
          <w:sz w:val="20"/>
          <w:szCs w:val="20"/>
          <w:highlight w:val="none"/>
        </w:rPr>
        <w:t>the following option:</w:t>
      </w:r>
      <w:bookmarkEnd w:id="24"/>
    </w:p>
    <w:p>
      <w:pPr>
        <w:numPr>
          <w:ilvl w:val="0"/>
          <w:numId w:val="4"/>
        </w:numPr>
        <w:adjustRightInd w:val="0"/>
        <w:snapToGrid w:val="0"/>
        <w:spacing w:after="0" w:line="240" w:lineRule="auto"/>
        <w:contextualSpacing/>
        <w:jc w:val="both"/>
        <w:rPr>
          <w:rFonts w:ascii="Times New Roman" w:hAnsi="Times New Roman"/>
          <w:b/>
          <w:i/>
          <w:sz w:val="20"/>
          <w:szCs w:val="20"/>
          <w:highlight w:val="none"/>
        </w:rPr>
      </w:pPr>
      <w:r>
        <w:rPr>
          <w:rFonts w:ascii="Times New Roman" w:hAnsi="Times New Roman"/>
          <w:b/>
          <w:i/>
          <w:sz w:val="20"/>
          <w:szCs w:val="20"/>
          <w:highlight w:val="none"/>
        </w:rPr>
        <w:t xml:space="preserve">Option 1a: introduce the definition of UE/TRP Tx/Rx phase error groups (PEGs) for the Tx/Rx of DL PRS/UL SRS signals </w:t>
      </w:r>
    </w:p>
    <w:p>
      <w:pPr>
        <w:pStyle w:val="3"/>
        <w:snapToGrid w:val="0"/>
        <w:spacing w:line="240" w:lineRule="auto"/>
        <w:rPr>
          <w:rFonts w:hint="default" w:ascii="Times New Roman" w:hAnsi="Times New Roman" w:eastAsia="宋体"/>
          <w:b/>
          <w:bCs/>
          <w:color w:val="auto"/>
          <w:kern w:val="0"/>
          <w:sz w:val="22"/>
          <w:szCs w:val="20"/>
          <w:highlight w:val="none"/>
          <w:lang w:val="en-US" w:eastAsia="zh-CN"/>
        </w:rPr>
      </w:pPr>
      <w:r>
        <w:rPr>
          <w:rFonts w:hint="eastAsia"/>
          <w:color w:val="auto"/>
          <w:sz w:val="24"/>
          <w:szCs w:val="24"/>
          <w:highlight w:val="none"/>
          <w:lang w:val="en-US" w:eastAsia="zh-CN"/>
        </w:rPr>
        <w:t>Simultaneous PRS measurement</w:t>
      </w:r>
    </w:p>
    <w:p>
      <w:pPr>
        <w:numPr>
          <w:ilvl w:val="0"/>
          <w:numId w:val="0"/>
        </w:numPr>
        <w:adjustRightInd w:val="0"/>
        <w:snapToGrid w:val="0"/>
        <w:spacing w:after="0" w:line="240" w:lineRule="auto"/>
        <w:contextualSpacing/>
        <w:jc w:val="both"/>
        <w:rPr>
          <w:rFonts w:hint="eastAsia" w:ascii="Times New Roman" w:hAnsi="Times New Roman" w:cs="Times New Roman" w:eastAsiaTheme="minorEastAsia"/>
          <w:kern w:val="0"/>
          <w:sz w:val="20"/>
          <w:szCs w:val="20"/>
          <w:highlight w:val="none"/>
          <w:lang w:val="en-US" w:eastAsia="zh-CN" w:bidi="ar-SA"/>
        </w:rPr>
      </w:pPr>
      <w:r>
        <w:rPr>
          <w:rFonts w:hint="eastAsia" w:ascii="Times New Roman" w:hAnsi="Times New Roman" w:cs="Times New Roman" w:eastAsiaTheme="minorEastAsia"/>
          <w:kern w:val="0"/>
          <w:sz w:val="20"/>
          <w:szCs w:val="20"/>
          <w:highlight w:val="none"/>
          <w:lang w:val="en-US" w:eastAsia="zh-CN" w:bidi="ar-SA"/>
        </w:rPr>
        <w:t xml:space="preserve">In RAN1#113 meeting, the following agreement was made for simultaneous PRS measurements for </w:t>
      </w:r>
      <w:r>
        <w:rPr>
          <w:rFonts w:hint="eastAsia" w:ascii="Times New Roman" w:hAnsi="Times New Roman" w:cs="Times New Roman"/>
          <w:kern w:val="0"/>
          <w:sz w:val="20"/>
          <w:szCs w:val="20"/>
          <w:highlight w:val="none"/>
          <w:lang w:val="en-US" w:eastAsia="zh-CN" w:bidi="ar-SA"/>
        </w:rPr>
        <w:t xml:space="preserve">a </w:t>
      </w:r>
      <w:r>
        <w:rPr>
          <w:rFonts w:hint="eastAsia" w:ascii="Times New Roman" w:hAnsi="Times New Roman" w:cs="Times New Roman" w:eastAsiaTheme="minorEastAsia"/>
          <w:kern w:val="0"/>
          <w:sz w:val="20"/>
          <w:szCs w:val="20"/>
          <w:highlight w:val="none"/>
          <w:lang w:val="en-US" w:eastAsia="zh-CN" w:bidi="ar-SA"/>
        </w:rPr>
        <w:t xml:space="preserve">UE and </w:t>
      </w:r>
      <w:r>
        <w:rPr>
          <w:rFonts w:hint="eastAsia" w:ascii="Times New Roman" w:hAnsi="Times New Roman" w:cs="Times New Roman"/>
          <w:kern w:val="0"/>
          <w:sz w:val="20"/>
          <w:szCs w:val="20"/>
          <w:highlight w:val="none"/>
          <w:lang w:val="en-US" w:eastAsia="zh-CN" w:bidi="ar-SA"/>
        </w:rPr>
        <w:t xml:space="preserve">a </w:t>
      </w:r>
      <w:r>
        <w:rPr>
          <w:rFonts w:hint="eastAsia" w:ascii="Times New Roman" w:hAnsi="Times New Roman" w:cs="Times New Roman" w:eastAsiaTheme="minorEastAsia"/>
          <w:kern w:val="0"/>
          <w:sz w:val="20"/>
          <w:szCs w:val="20"/>
          <w:highlight w:val="none"/>
          <w:lang w:val="en-US" w:eastAsia="zh-CN" w:bidi="ar-SA"/>
        </w:rPr>
        <w:t>PRU:</w:t>
      </w:r>
    </w:p>
    <w:p>
      <w:pPr>
        <w:numPr>
          <w:ilvl w:val="0"/>
          <w:numId w:val="0"/>
        </w:numPr>
        <w:adjustRightInd w:val="0"/>
        <w:snapToGrid w:val="0"/>
        <w:spacing w:after="0" w:line="240" w:lineRule="auto"/>
        <w:contextualSpacing/>
        <w:jc w:val="both"/>
        <w:rPr>
          <w:rFonts w:hint="eastAsia" w:ascii="Times New Roman" w:hAnsi="Times New Roman"/>
          <w:b/>
          <w:i/>
          <w:sz w:val="20"/>
          <w:szCs w:val="20"/>
          <w:highlight w:val="none"/>
          <w:lang w:val="en-US" w:eastAsia="zh-CN"/>
        </w:rPr>
      </w:pP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hRule="atLeast"/>
        </w:trPr>
        <w:tc>
          <w:tcPr>
            <w:tcW w:w="10340" w:type="dxa"/>
          </w:tcPr>
          <w:p>
            <w:pPr>
              <w:adjustRightInd w:val="0"/>
              <w:snapToGrid w:val="0"/>
              <w:spacing w:after="0" w:line="240" w:lineRule="auto"/>
              <w:rPr>
                <w:rFonts w:ascii="Times New Roman" w:hAnsi="Times New Roman"/>
                <w:b/>
                <w:color w:val="auto"/>
                <w:sz w:val="20"/>
                <w:szCs w:val="20"/>
                <w:highlight w:val="none"/>
                <w:u w:val="single"/>
                <w:lang w:val="en-US" w:eastAsia="zh-CN"/>
              </w:rPr>
            </w:pPr>
            <w:r>
              <w:rPr>
                <w:rFonts w:ascii="Times New Roman" w:hAnsi="Times New Roman"/>
                <w:b/>
                <w:color w:val="auto"/>
                <w:sz w:val="20"/>
                <w:szCs w:val="20"/>
                <w:highlight w:val="none"/>
                <w:u w:val="single"/>
                <w:lang w:val="en-US" w:eastAsia="zh-CN"/>
              </w:rPr>
              <w:t>Agreement</w:t>
            </w:r>
          </w:p>
          <w:p>
            <w:pPr>
              <w:pageBreakBefore w:val="0"/>
              <w:kinsoku/>
              <w:wordWrap/>
              <w:topLinePunct w:val="0"/>
              <w:bidi w:val="0"/>
              <w:adjustRightInd w:val="0"/>
              <w:snapToGrid w:val="0"/>
              <w:spacing w:after="0" w:line="240" w:lineRule="auto"/>
              <w:ind w:left="440" w:leftChars="200"/>
              <w:contextualSpacing/>
              <w:rPr>
                <w:rFonts w:ascii="Times New Roman" w:hAnsi="Times New Roman"/>
                <w:color w:val="auto"/>
                <w:sz w:val="20"/>
                <w:szCs w:val="20"/>
                <w:highlight w:val="none"/>
                <w:lang w:eastAsia="ja-JP"/>
              </w:rPr>
            </w:pPr>
            <w:r>
              <w:rPr>
                <w:rFonts w:ascii="Times New Roman" w:hAnsi="Times New Roman"/>
                <w:color w:val="auto"/>
                <w:sz w:val="20"/>
                <w:szCs w:val="20"/>
                <w:highlight w:val="none"/>
                <w:lang w:eastAsia="ja-JP"/>
              </w:rPr>
              <w:t>To enable simultaneous measurements on same DL PRS by a target UE and a PRU, support the following enhancements:</w:t>
            </w:r>
          </w:p>
          <w:p>
            <w:pPr>
              <w:pageBreakBefore w:val="0"/>
              <w:numPr>
                <w:ilvl w:val="0"/>
                <w:numId w:val="4"/>
              </w:numPr>
              <w:kinsoku/>
              <w:wordWrap/>
              <w:topLinePunct w:val="0"/>
              <w:bidi w:val="0"/>
              <w:adjustRightInd w:val="0"/>
              <w:snapToGrid w:val="0"/>
              <w:spacing w:after="0" w:line="240" w:lineRule="auto"/>
              <w:ind w:left="904" w:leftChars="411"/>
              <w:contextualSpacing/>
              <w:rPr>
                <w:rFonts w:ascii="Times New Roman" w:hAnsi="Times New Roman"/>
                <w:color w:val="auto"/>
                <w:sz w:val="20"/>
                <w:szCs w:val="20"/>
                <w:highlight w:val="none"/>
                <w:lang w:eastAsia="ja-JP"/>
              </w:rPr>
            </w:pPr>
            <w:r>
              <w:rPr>
                <w:rFonts w:ascii="Times New Roman" w:hAnsi="Times New Roman"/>
                <w:color w:val="auto"/>
                <w:sz w:val="20"/>
                <w:szCs w:val="20"/>
                <w:highlight w:val="none"/>
                <w:lang w:eastAsia="ja-JP"/>
              </w:rPr>
              <w:t>Enabling LMF to request the UEs, including target UE and PRU(s), to perform measurements on indicated DL PRS resource sets occurring within indicated time window(s).</w:t>
            </w:r>
          </w:p>
          <w:p>
            <w:pPr>
              <w:pageBreakBefore w:val="0"/>
              <w:numPr>
                <w:ilvl w:val="0"/>
                <w:numId w:val="4"/>
              </w:numPr>
              <w:kinsoku/>
              <w:wordWrap/>
              <w:topLinePunct w:val="0"/>
              <w:bidi w:val="0"/>
              <w:adjustRightInd w:val="0"/>
              <w:snapToGrid w:val="0"/>
              <w:spacing w:after="0" w:line="240" w:lineRule="auto"/>
              <w:ind w:left="904" w:leftChars="411"/>
              <w:contextualSpacing/>
              <w:rPr>
                <w:rFonts w:ascii="Times New Roman" w:hAnsi="Times New Roman"/>
                <w:color w:val="auto"/>
                <w:sz w:val="20"/>
                <w:szCs w:val="20"/>
                <w:highlight w:val="none"/>
                <w:lang w:eastAsia="ja-JP"/>
              </w:rPr>
            </w:pPr>
            <w:r>
              <w:rPr>
                <w:rFonts w:ascii="Times New Roman" w:hAnsi="Times New Roman"/>
                <w:color w:val="auto"/>
                <w:sz w:val="20"/>
                <w:szCs w:val="20"/>
                <w:highlight w:val="none"/>
                <w:lang w:eastAsia="ja-JP"/>
              </w:rPr>
              <w:t>FFS: the details of the configuration of the indicated time window(s), e.g., the start time, duration, periodicity for the time window(s), as well as the relationship with the Scheduled Location time.</w:t>
            </w:r>
          </w:p>
          <w:p>
            <w:pPr>
              <w:adjustRightInd w:val="0"/>
              <w:snapToGrid w:val="0"/>
              <w:spacing w:after="0" w:line="240" w:lineRule="auto"/>
              <w:rPr>
                <w:rFonts w:ascii="Times New Roman" w:hAnsi="Times New Roman"/>
                <w:b/>
                <w:color w:val="auto"/>
                <w:sz w:val="20"/>
                <w:szCs w:val="20"/>
                <w:highlight w:val="none"/>
                <w:u w:val="single"/>
                <w:lang w:val="en-US" w:eastAsia="zh-CN"/>
              </w:rPr>
            </w:pPr>
            <w:r>
              <w:rPr>
                <w:rFonts w:ascii="Times New Roman" w:hAnsi="Times New Roman"/>
                <w:b/>
                <w:color w:val="auto"/>
                <w:sz w:val="20"/>
                <w:szCs w:val="20"/>
                <w:highlight w:val="none"/>
                <w:u w:val="single"/>
                <w:lang w:val="en-US" w:eastAsia="zh-CN"/>
              </w:rPr>
              <w:t>Agreement</w:t>
            </w:r>
          </w:p>
          <w:p>
            <w:pPr>
              <w:pageBreakBefore w:val="0"/>
              <w:kinsoku/>
              <w:wordWrap/>
              <w:topLinePunct w:val="0"/>
              <w:bidi w:val="0"/>
              <w:adjustRightInd w:val="0"/>
              <w:snapToGrid w:val="0"/>
              <w:spacing w:after="0" w:line="240" w:lineRule="auto"/>
              <w:rPr>
                <w:rFonts w:ascii="Times New Roman" w:hAnsi="Times New Roman"/>
                <w:iCs/>
                <w:color w:val="auto"/>
                <w:sz w:val="20"/>
                <w:szCs w:val="20"/>
                <w:highlight w:val="none"/>
              </w:rPr>
            </w:pPr>
            <w:r>
              <w:rPr>
                <w:rFonts w:ascii="Times New Roman" w:hAnsi="Times New Roman"/>
                <w:iCs/>
                <w:color w:val="auto"/>
                <w:sz w:val="20"/>
                <w:szCs w:val="20"/>
                <w:highlight w:val="none"/>
              </w:rPr>
              <w:t>To enable LMF to request the UEs, including target UE and PRU(s), to perform measurements on indicated DL PRS resource set(s) occurring within indicated time window(s), each time window is defined with the following parameters:</w:t>
            </w:r>
          </w:p>
          <w:p>
            <w:pPr>
              <w:pageBreakBefore w:val="0"/>
              <w:numPr>
                <w:ilvl w:val="0"/>
                <w:numId w:val="9"/>
              </w:numPr>
              <w:kinsoku/>
              <w:wordWrap/>
              <w:topLinePunct w:val="0"/>
              <w:autoSpaceDE w:val="0"/>
              <w:autoSpaceDN w:val="0"/>
              <w:bidi w:val="0"/>
              <w:adjustRightInd w:val="0"/>
              <w:snapToGrid w:val="0"/>
              <w:spacing w:after="0" w:line="240" w:lineRule="auto"/>
              <w:jc w:val="both"/>
              <w:rPr>
                <w:rFonts w:ascii="Times New Roman" w:hAnsi="Times New Roman" w:eastAsia="宋体"/>
                <w:iCs/>
                <w:color w:val="auto"/>
                <w:sz w:val="20"/>
                <w:szCs w:val="20"/>
                <w:highlight w:val="none"/>
                <w:lang w:val="en-US"/>
              </w:rPr>
            </w:pPr>
            <w:r>
              <w:rPr>
                <w:rFonts w:ascii="Times New Roman" w:hAnsi="Times New Roman" w:eastAsia="宋体"/>
                <w:iCs/>
                <w:color w:val="auto"/>
                <w:sz w:val="20"/>
                <w:szCs w:val="20"/>
                <w:highlight w:val="none"/>
              </w:rPr>
              <w:t xml:space="preserve">The start </w:t>
            </w:r>
            <w:r>
              <w:rPr>
                <w:rFonts w:ascii="Times New Roman" w:hAnsi="Times New Roman" w:eastAsia="宋体"/>
                <w:iCs/>
                <w:color w:val="auto"/>
                <w:sz w:val="20"/>
                <w:szCs w:val="20"/>
                <w:highlight w:val="none"/>
                <w:lang w:val="en-US"/>
              </w:rPr>
              <w:t>of the time window, which is indicated by a combination of subframe number, slot offset and symbol index</w:t>
            </w:r>
          </w:p>
          <w:p>
            <w:pPr>
              <w:pageBreakBefore w:val="0"/>
              <w:numPr>
                <w:ilvl w:val="0"/>
                <w:numId w:val="9"/>
              </w:numPr>
              <w:kinsoku/>
              <w:wordWrap/>
              <w:topLinePunct w:val="0"/>
              <w:autoSpaceDE w:val="0"/>
              <w:autoSpaceDN w:val="0"/>
              <w:bidi w:val="0"/>
              <w:adjustRightInd w:val="0"/>
              <w:snapToGrid w:val="0"/>
              <w:spacing w:after="0" w:line="240" w:lineRule="auto"/>
              <w:jc w:val="both"/>
              <w:rPr>
                <w:rFonts w:ascii="Times New Roman" w:hAnsi="Times New Roman" w:eastAsia="宋体"/>
                <w:iCs/>
                <w:color w:val="auto"/>
                <w:sz w:val="20"/>
                <w:szCs w:val="20"/>
                <w:highlight w:val="none"/>
                <w:lang w:val="en-US"/>
              </w:rPr>
            </w:pPr>
            <w:r>
              <w:rPr>
                <w:rFonts w:ascii="Times New Roman" w:hAnsi="Times New Roman" w:eastAsia="宋体"/>
                <w:iCs/>
                <w:color w:val="auto"/>
                <w:sz w:val="20"/>
                <w:szCs w:val="20"/>
                <w:highlight w:val="none"/>
                <w:lang w:val="en-US"/>
              </w:rPr>
              <w:t>The duration of the time window, which is given by a number of consecutive slots/symbols</w:t>
            </w:r>
          </w:p>
          <w:p>
            <w:pPr>
              <w:pageBreakBefore w:val="0"/>
              <w:numPr>
                <w:ilvl w:val="1"/>
                <w:numId w:val="9"/>
              </w:numPr>
              <w:kinsoku/>
              <w:wordWrap/>
              <w:topLinePunct w:val="0"/>
              <w:autoSpaceDE w:val="0"/>
              <w:autoSpaceDN w:val="0"/>
              <w:bidi w:val="0"/>
              <w:adjustRightInd w:val="0"/>
              <w:snapToGrid w:val="0"/>
              <w:spacing w:after="0" w:line="240" w:lineRule="auto"/>
              <w:jc w:val="both"/>
              <w:outlineLvl w:val="9"/>
              <w:rPr>
                <w:rFonts w:ascii="Times New Roman" w:hAnsi="Times New Roman" w:eastAsia="宋体"/>
                <w:iCs/>
                <w:color w:val="auto"/>
                <w:sz w:val="20"/>
                <w:szCs w:val="20"/>
                <w:highlight w:val="none"/>
                <w:lang w:val="en-US"/>
              </w:rPr>
            </w:pPr>
            <w:r>
              <w:rPr>
                <w:rFonts w:ascii="Times New Roman" w:hAnsi="Times New Roman" w:eastAsia="宋体"/>
                <w:iCs/>
                <w:color w:val="auto"/>
                <w:sz w:val="20"/>
                <w:szCs w:val="20"/>
                <w:highlight w:val="none"/>
                <w:lang w:val="en-US"/>
              </w:rPr>
              <w:t>FFS: the number of consecutive slots/symbols</w:t>
            </w:r>
          </w:p>
          <w:p>
            <w:pPr>
              <w:pageBreakBefore w:val="0"/>
              <w:numPr>
                <w:ilvl w:val="0"/>
                <w:numId w:val="9"/>
              </w:numPr>
              <w:kinsoku/>
              <w:wordWrap/>
              <w:topLinePunct w:val="0"/>
              <w:autoSpaceDE w:val="0"/>
              <w:autoSpaceDN w:val="0"/>
              <w:bidi w:val="0"/>
              <w:adjustRightInd w:val="0"/>
              <w:snapToGrid w:val="0"/>
              <w:spacing w:after="0" w:line="240" w:lineRule="auto"/>
              <w:jc w:val="both"/>
              <w:rPr>
                <w:rFonts w:ascii="Times New Roman" w:hAnsi="Times New Roman" w:eastAsia="宋体"/>
                <w:iCs/>
                <w:color w:val="auto"/>
                <w:sz w:val="20"/>
                <w:szCs w:val="20"/>
                <w:highlight w:val="none"/>
                <w:lang w:val="en-US"/>
              </w:rPr>
            </w:pPr>
            <w:r>
              <w:rPr>
                <w:rFonts w:ascii="Times New Roman" w:hAnsi="Times New Roman" w:eastAsia="宋体"/>
                <w:iCs/>
                <w:color w:val="auto"/>
                <w:sz w:val="20"/>
                <w:szCs w:val="20"/>
                <w:highlight w:val="none"/>
                <w:lang w:val="en-US"/>
              </w:rPr>
              <w:t>(Optional) The periodicity of the time window, which is defined similar to IE NR-DL-PRS-Periodicity-and-ResourceSetSlotOffset in TS 37.355.</w:t>
            </w:r>
          </w:p>
          <w:p>
            <w:pPr>
              <w:pageBreakBefore w:val="0"/>
              <w:kinsoku/>
              <w:wordWrap/>
              <w:topLinePunct w:val="0"/>
              <w:bidi w:val="0"/>
              <w:adjustRightInd w:val="0"/>
              <w:snapToGrid w:val="0"/>
              <w:spacing w:after="0" w:line="240" w:lineRule="auto"/>
              <w:ind w:firstLine="400" w:firstLineChars="200"/>
              <w:rPr>
                <w:highlight w:val="none"/>
              </w:rPr>
            </w:pPr>
            <w:r>
              <w:rPr>
                <w:rFonts w:ascii="Times New Roman" w:hAnsi="Times New Roman" w:eastAsia="宋体"/>
                <w:iCs/>
                <w:color w:val="auto"/>
                <w:sz w:val="20"/>
                <w:szCs w:val="20"/>
                <w:highlight w:val="none"/>
                <w:lang w:val="en-US"/>
              </w:rPr>
              <w:t>FFS: the maximum number of the windows</w:t>
            </w:r>
          </w:p>
        </w:tc>
      </w:tr>
    </w:tbl>
    <w:p>
      <w:pPr>
        <w:numPr>
          <w:ilvl w:val="0"/>
          <w:numId w:val="0"/>
        </w:numPr>
        <w:adjustRightInd w:val="0"/>
        <w:snapToGrid w:val="0"/>
        <w:spacing w:after="0" w:line="240" w:lineRule="auto"/>
        <w:contextualSpacing/>
        <w:jc w:val="both"/>
        <w:rPr>
          <w:rFonts w:hint="default" w:ascii="Times New Roman" w:hAnsi="Times New Roman"/>
          <w:b/>
          <w:i/>
          <w:sz w:val="20"/>
          <w:szCs w:val="20"/>
          <w:highlight w:val="none"/>
          <w:lang w:val="en-US" w:eastAsia="zh-CN"/>
        </w:rPr>
      </w:pPr>
    </w:p>
    <w:p>
      <w:pPr>
        <w:widowControl w:val="0"/>
        <w:adjustRightInd w:val="0"/>
        <w:snapToGrid w:val="0"/>
        <w:spacing w:before="180" w:beforeLines="50" w:after="180" w:afterLines="50" w:line="240" w:lineRule="auto"/>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There are two FFS concerning the number of consecutive slots/symbols and the maximum number of the windows for simultaneous PRS measurement. LMF can configure the required parameters of the time window(s) to UE and PRU. Technically speaking, the number of consecutive slots/symbols should be limited. Too long window length can not guarantee that UE and PRU will measure PRS simultaneously. The length of each time window indicates the length of DL-PRS processing window for simultaneous measurement, which can be set as (1,10) slots in our view. The maximum number of the windows can be set as, for example, 4 windows for UE and PRU. Therefore, we have the following proposals:</w:t>
      </w:r>
    </w:p>
    <w:p>
      <w:pPr>
        <w:keepNext w:val="0"/>
        <w:keepLines w:val="0"/>
        <w:pageBreakBefore w:val="0"/>
        <w:widowControl/>
        <w:suppressLineNumbers w:val="0"/>
        <w:kinsoku/>
        <w:wordWrap/>
        <w:overflowPunct/>
        <w:topLinePunct w:val="0"/>
        <w:autoSpaceDE/>
        <w:autoSpaceDN/>
        <w:bidi w:val="0"/>
        <w:adjustRightInd w:val="0"/>
        <w:snapToGrid w:val="0"/>
        <w:spacing w:after="181" w:afterLines="50" w:line="240" w:lineRule="auto"/>
        <w:jc w:val="left"/>
        <w:textAlignment w:val="auto"/>
        <w:rPr>
          <w:rFonts w:hint="default" w:ascii="Times New Roman" w:hAnsi="Times New Roman" w:eastAsiaTheme="minorEastAsia"/>
          <w:b/>
          <w:i/>
          <w:sz w:val="20"/>
          <w:szCs w:val="20"/>
          <w:highlight w:val="none"/>
          <w:lang w:val="en-US" w:eastAsia="zh-CN"/>
        </w:rPr>
      </w:pPr>
      <w:bookmarkStart w:id="25" w:name="_Ref30312"/>
      <w:r>
        <w:rPr>
          <w:rFonts w:ascii="Times New Roman" w:hAnsi="Times New Roman"/>
          <w:b/>
          <w:i/>
          <w:sz w:val="20"/>
          <w:szCs w:val="20"/>
          <w:highlight w:val="none"/>
        </w:rPr>
        <w:t xml:space="preserve">Proposal </w:t>
      </w:r>
      <w:r>
        <w:rPr>
          <w:rFonts w:ascii="Times New Roman" w:hAnsi="Times New Roman"/>
          <w:b/>
          <w:i/>
          <w:sz w:val="20"/>
          <w:szCs w:val="20"/>
          <w:highlight w:val="none"/>
        </w:rPr>
        <w:fldChar w:fldCharType="begin"/>
      </w:r>
      <w:r>
        <w:rPr>
          <w:rFonts w:ascii="Times New Roman" w:hAnsi="Times New Roman"/>
          <w:b/>
          <w:i/>
          <w:sz w:val="20"/>
          <w:szCs w:val="20"/>
          <w:highlight w:val="none"/>
        </w:rPr>
        <w:instrText xml:space="preserve"> SEQ Proposal \* ARABIC </w:instrText>
      </w:r>
      <w:r>
        <w:rPr>
          <w:rFonts w:ascii="Times New Roman" w:hAnsi="Times New Roman"/>
          <w:b/>
          <w:i/>
          <w:sz w:val="20"/>
          <w:szCs w:val="20"/>
          <w:highlight w:val="none"/>
        </w:rPr>
        <w:fldChar w:fldCharType="separate"/>
      </w:r>
      <w:r>
        <w:rPr>
          <w:rFonts w:ascii="Times New Roman" w:hAnsi="Times New Roman"/>
          <w:b/>
          <w:i/>
          <w:sz w:val="20"/>
          <w:szCs w:val="20"/>
          <w:highlight w:val="none"/>
        </w:rPr>
        <w:t>12</w:t>
      </w:r>
      <w:r>
        <w:rPr>
          <w:rFonts w:ascii="Times New Roman" w:hAnsi="Times New Roman"/>
          <w:b/>
          <w:i/>
          <w:sz w:val="20"/>
          <w:szCs w:val="20"/>
          <w:highlight w:val="none"/>
        </w:rPr>
        <w:fldChar w:fldCharType="end"/>
      </w:r>
      <w:r>
        <w:rPr>
          <w:rFonts w:ascii="Times New Roman" w:hAnsi="Times New Roman"/>
          <w:b/>
          <w:i/>
          <w:sz w:val="20"/>
          <w:szCs w:val="20"/>
          <w:highlight w:val="none"/>
        </w:rPr>
        <w:t xml:space="preserve">: </w:t>
      </w:r>
      <w:r>
        <w:rPr>
          <w:rFonts w:hint="eastAsia" w:ascii="Times New Roman" w:hAnsi="Times New Roman"/>
          <w:b/>
          <w:i/>
          <w:sz w:val="20"/>
          <w:szCs w:val="20"/>
          <w:highlight w:val="none"/>
          <w:lang w:val="en-US" w:eastAsia="zh-CN"/>
        </w:rPr>
        <w:t>The number of consecutive slots of each time window can be set as INTEGER (1,...,10).</w:t>
      </w:r>
      <w:bookmarkEnd w:id="25"/>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b/>
          <w:i/>
          <w:sz w:val="20"/>
          <w:szCs w:val="20"/>
          <w:highlight w:val="none"/>
          <w:lang w:val="en-US" w:eastAsia="zh-CN"/>
        </w:rPr>
      </w:pPr>
      <w:bookmarkStart w:id="26" w:name="_Ref23584"/>
      <w:r>
        <w:rPr>
          <w:rFonts w:ascii="Times New Roman" w:hAnsi="Times New Roman"/>
          <w:b/>
          <w:i/>
          <w:sz w:val="20"/>
          <w:szCs w:val="20"/>
          <w:highlight w:val="none"/>
        </w:rPr>
        <w:t xml:space="preserve">Proposal </w:t>
      </w:r>
      <w:r>
        <w:rPr>
          <w:rFonts w:ascii="Times New Roman" w:hAnsi="Times New Roman"/>
          <w:b/>
          <w:i/>
          <w:sz w:val="20"/>
          <w:szCs w:val="20"/>
          <w:highlight w:val="none"/>
        </w:rPr>
        <w:fldChar w:fldCharType="begin"/>
      </w:r>
      <w:r>
        <w:rPr>
          <w:rFonts w:ascii="Times New Roman" w:hAnsi="Times New Roman"/>
          <w:b/>
          <w:i/>
          <w:sz w:val="20"/>
          <w:szCs w:val="20"/>
          <w:highlight w:val="none"/>
        </w:rPr>
        <w:instrText xml:space="preserve"> SEQ Proposal \* ARABIC </w:instrText>
      </w:r>
      <w:r>
        <w:rPr>
          <w:rFonts w:ascii="Times New Roman" w:hAnsi="Times New Roman"/>
          <w:b/>
          <w:i/>
          <w:sz w:val="20"/>
          <w:szCs w:val="20"/>
          <w:highlight w:val="none"/>
        </w:rPr>
        <w:fldChar w:fldCharType="separate"/>
      </w:r>
      <w:r>
        <w:rPr>
          <w:rFonts w:ascii="Times New Roman" w:hAnsi="Times New Roman"/>
          <w:b/>
          <w:i/>
          <w:sz w:val="20"/>
          <w:szCs w:val="20"/>
          <w:highlight w:val="none"/>
        </w:rPr>
        <w:t>13</w:t>
      </w:r>
      <w:r>
        <w:rPr>
          <w:rFonts w:ascii="Times New Roman" w:hAnsi="Times New Roman"/>
          <w:b/>
          <w:i/>
          <w:sz w:val="20"/>
          <w:szCs w:val="20"/>
          <w:highlight w:val="none"/>
        </w:rPr>
        <w:fldChar w:fldCharType="end"/>
      </w:r>
      <w:r>
        <w:rPr>
          <w:rFonts w:ascii="Times New Roman" w:hAnsi="Times New Roman"/>
          <w:b/>
          <w:i/>
          <w:sz w:val="20"/>
          <w:szCs w:val="20"/>
          <w:highlight w:val="none"/>
        </w:rPr>
        <w:t xml:space="preserve">: </w:t>
      </w:r>
      <w:r>
        <w:rPr>
          <w:rFonts w:hint="eastAsia" w:ascii="Times New Roman" w:hAnsi="Times New Roman"/>
          <w:b/>
          <w:i/>
          <w:sz w:val="20"/>
          <w:szCs w:val="20"/>
          <w:highlight w:val="none"/>
          <w:lang w:val="en-US" w:eastAsia="zh-CN"/>
        </w:rPr>
        <w:t>The maximum number of the windows for simultaneous PRS measurement can be set as 4 windows for UE and PRU.</w:t>
      </w:r>
      <w:bookmarkEnd w:id="26"/>
    </w:p>
    <w:p>
      <w:pPr>
        <w:numPr>
          <w:ilvl w:val="0"/>
          <w:numId w:val="0"/>
        </w:numPr>
        <w:adjustRightInd w:val="0"/>
        <w:snapToGrid w:val="0"/>
        <w:spacing w:after="0" w:line="240" w:lineRule="auto"/>
        <w:contextualSpacing/>
        <w:jc w:val="both"/>
        <w:rPr>
          <w:rFonts w:ascii="Times New Roman" w:hAnsi="Times New Roman"/>
          <w:b/>
          <w:i/>
          <w:sz w:val="20"/>
          <w:szCs w:val="20"/>
          <w:highlight w:val="none"/>
        </w:rPr>
      </w:pPr>
    </w:p>
    <w:bookmarkEnd w:id="5"/>
    <w:p>
      <w:pPr>
        <w:pStyle w:val="2"/>
        <w:snapToGrid w:val="0"/>
        <w:spacing w:before="120" w:after="180" w:afterLines="50"/>
        <w:ind w:left="431" w:hanging="431"/>
        <w:jc w:val="both"/>
        <w:rPr>
          <w:rFonts w:ascii="Times New Roman" w:hAnsi="Times New Roman"/>
          <w:sz w:val="28"/>
          <w:highlight w:val="none"/>
          <w:lang w:val="en-US"/>
        </w:rPr>
      </w:pPr>
      <w:r>
        <w:rPr>
          <w:rFonts w:ascii="Times New Roman" w:hAnsi="Times New Roman"/>
          <w:sz w:val="28"/>
          <w:highlight w:val="none"/>
          <w:lang w:val="en-US"/>
        </w:rPr>
        <w:t>Conclusion</w:t>
      </w:r>
    </w:p>
    <w:p>
      <w:pPr>
        <w:autoSpaceDE w:val="0"/>
        <w:autoSpaceDN w:val="0"/>
        <w:adjustRightInd w:val="0"/>
        <w:snapToGrid w:val="0"/>
        <w:spacing w:before="180" w:beforeLines="50" w:after="180" w:afterLines="50"/>
        <w:jc w:val="both"/>
        <w:rPr>
          <w:rFonts w:hint="eastAsia" w:ascii="Times New Roman" w:hAnsi="Times New Roman"/>
          <w:iCs/>
          <w:sz w:val="20"/>
          <w:szCs w:val="20"/>
          <w:highlight w:val="none"/>
        </w:rPr>
      </w:pPr>
      <w:r>
        <w:rPr>
          <w:rFonts w:ascii="Times New Roman" w:hAnsi="Times New Roman" w:eastAsia="宋体"/>
          <w:sz w:val="20"/>
          <w:szCs w:val="20"/>
          <w:highlight w:val="none"/>
        </w:rPr>
        <w:t xml:space="preserve">In this contribution, we </w:t>
      </w:r>
      <w:r>
        <w:rPr>
          <w:rFonts w:ascii="Times New Roman" w:hAnsi="Times New Roman"/>
          <w:iCs/>
          <w:sz w:val="20"/>
          <w:szCs w:val="20"/>
          <w:highlight w:val="none"/>
        </w:rPr>
        <w:t>provide our views on carrier phase measurement based positioning techniques</w:t>
      </w:r>
      <w:r>
        <w:rPr>
          <w:rFonts w:hint="eastAsia" w:ascii="Times New Roman" w:hAnsi="Times New Roman"/>
          <w:iCs/>
          <w:sz w:val="20"/>
          <w:szCs w:val="20"/>
          <w:highlight w:val="none"/>
        </w:rPr>
        <w:t>, proposals are listed as follows:</w:t>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_Ref7641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sz w:val="20"/>
          <w:szCs w:val="20"/>
          <w:highlight w:val="none"/>
        </w:rPr>
        <w:t xml:space="preserve">Proposal 1: </w:t>
      </w:r>
      <w:r>
        <w:rPr>
          <w:rFonts w:hint="default" w:ascii="Times New Roman" w:hAnsi="Times New Roman" w:cs="Times New Roman"/>
          <w:b/>
          <w:bCs/>
          <w:i/>
          <w:sz w:val="20"/>
          <w:szCs w:val="20"/>
          <w:highlight w:val="none"/>
          <w:lang w:eastAsia="ja-JP"/>
        </w:rPr>
        <w:t xml:space="preserve">Adopt the following option for a timestamp associated with a </w:t>
      </w:r>
      <w:r>
        <w:rPr>
          <w:rFonts w:hint="default" w:ascii="Times New Roman" w:hAnsi="Times New Roman" w:cs="Times New Roman"/>
          <w:b/>
          <w:bCs/>
          <w:i/>
          <w:sz w:val="20"/>
          <w:szCs w:val="20"/>
          <w:highlight w:val="none"/>
        </w:rPr>
        <w:t xml:space="preserve">reported </w:t>
      </w:r>
      <w:r>
        <w:rPr>
          <w:rFonts w:hint="default" w:ascii="Times New Roman" w:hAnsi="Times New Roman" w:cs="Times New Roman"/>
          <w:b/>
          <w:bCs/>
          <w:i/>
          <w:sz w:val="20"/>
          <w:szCs w:val="20"/>
          <w:highlight w:val="none"/>
          <w:lang w:eastAsia="ja-JP"/>
        </w:rPr>
        <w:t>RSCP/RSCPD measurement):</w:t>
      </w:r>
      <w:r>
        <w:rPr>
          <w:rFonts w:hint="default" w:ascii="Times New Roman" w:hAnsi="Times New Roman" w:cs="Times New Roman"/>
          <w:b/>
          <w:bCs/>
          <w:i/>
          <w:sz w:val="20"/>
          <w:szCs w:val="20"/>
          <w:highlight w:val="none"/>
        </w:rPr>
        <w:t xml:space="preserve"> </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numPr>
          <w:ilvl w:val="0"/>
          <w:numId w:val="4"/>
        </w:numPr>
        <w:kinsoku/>
        <w:wordWrap/>
        <w:overflowPunct/>
        <w:topLinePunct w:val="0"/>
        <w:bidi w:val="0"/>
        <w:adjustRightInd w:val="0"/>
        <w:snapToGrid w:val="0"/>
        <w:spacing w:after="181" w:afterLines="50" w:line="240" w:lineRule="auto"/>
        <w:contextualSpacing/>
        <w:textAlignment w:val="auto"/>
        <w:rPr>
          <w:rFonts w:hint="default" w:ascii="Times New Roman" w:hAnsi="Times New Roman" w:cs="Times New Roman"/>
          <w:b/>
          <w:bCs/>
          <w:i/>
          <w:iCs w:val="0"/>
          <w:sz w:val="20"/>
          <w:szCs w:val="20"/>
          <w:highlight w:val="none"/>
          <w:lang w:eastAsia="ja-JP"/>
        </w:rPr>
      </w:pPr>
      <w:r>
        <w:rPr>
          <w:rFonts w:hint="default" w:ascii="Times New Roman" w:hAnsi="Times New Roman" w:cs="Times New Roman"/>
          <w:b/>
          <w:bCs/>
          <w:i/>
          <w:iCs w:val="0"/>
          <w:sz w:val="20"/>
          <w:szCs w:val="20"/>
          <w:highlight w:val="none"/>
        </w:rPr>
        <w:t>Option 1:</w:t>
      </w:r>
    </w:p>
    <w:p>
      <w:pPr>
        <w:keepNext w:val="0"/>
        <w:keepLines w:val="0"/>
        <w:pageBreakBefore w:val="0"/>
        <w:widowControl/>
        <w:numPr>
          <w:ilvl w:val="1"/>
          <w:numId w:val="4"/>
        </w:numPr>
        <w:kinsoku/>
        <w:wordWrap/>
        <w:overflowPunct/>
        <w:topLinePunct w:val="0"/>
        <w:autoSpaceDE/>
        <w:autoSpaceDN/>
        <w:bidi w:val="0"/>
        <w:adjustRightInd w:val="0"/>
        <w:snapToGrid w:val="0"/>
        <w:spacing w:after="181" w:afterLines="50" w:line="240" w:lineRule="auto"/>
        <w:ind w:left="1508" w:hanging="363"/>
        <w:contextualSpacing/>
        <w:textAlignment w:val="auto"/>
        <w:rPr>
          <w:rFonts w:hint="default" w:ascii="Times New Roman" w:hAnsi="Times New Roman" w:eastAsia="宋体" w:cs="Times New Roman"/>
          <w:b/>
          <w:bCs/>
          <w:i/>
          <w:iCs w:val="0"/>
          <w:sz w:val="20"/>
          <w:szCs w:val="20"/>
          <w:highlight w:val="none"/>
        </w:rPr>
      </w:pPr>
      <w:r>
        <w:rPr>
          <w:rFonts w:hint="default" w:ascii="Times New Roman" w:hAnsi="Times New Roman" w:cs="Times New Roman"/>
          <w:b/>
          <w:bCs/>
          <w:i/>
          <w:iCs w:val="0"/>
          <w:sz w:val="20"/>
          <w:szCs w:val="20"/>
          <w:highlight w:val="none"/>
        </w:rPr>
        <w:t xml:space="preserve">NR-TimeStamp, currently defined in TS 37.355, is reused as the timestamp with the granularity of a slot. </w:t>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_Ref23542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sz w:val="20"/>
          <w:szCs w:val="20"/>
          <w:highlight w:val="none"/>
        </w:rPr>
        <w:t xml:space="preserve">Proposal 2: </w:t>
      </w:r>
      <w:r>
        <w:rPr>
          <w:rFonts w:hint="default" w:ascii="Times New Roman" w:hAnsi="Times New Roman" w:cs="Times New Roman"/>
          <w:b/>
          <w:bCs/>
          <w:i/>
          <w:iCs/>
          <w:sz w:val="20"/>
          <w:szCs w:val="20"/>
          <w:highlight w:val="none"/>
          <w:lang w:val="en-US" w:eastAsia="zh-CN"/>
        </w:rPr>
        <w:t>Support standalone carrier phase measurement report/carrier phase positioning in Rel-18</w:t>
      </w:r>
      <w:r>
        <w:rPr>
          <w:rFonts w:hint="default" w:ascii="Times New Roman" w:hAnsi="Times New Roman" w:cs="Times New Roman"/>
          <w:b/>
          <w:bCs/>
          <w:i/>
          <w:iCs/>
          <w:sz w:val="20"/>
          <w:szCs w:val="20"/>
          <w:highlight w:val="none"/>
        </w:rPr>
        <w:t xml:space="preserve">. </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_Ref18399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sz w:val="20"/>
          <w:szCs w:val="20"/>
          <w:highlight w:val="none"/>
        </w:rPr>
        <w:t xml:space="preserve">Proposal 3: </w:t>
      </w:r>
      <w:r>
        <w:rPr>
          <w:rFonts w:hint="default" w:ascii="Times New Roman" w:hAnsi="Times New Roman" w:cs="Times New Roman"/>
          <w:b/>
          <w:bCs/>
          <w:i/>
          <w:iCs/>
          <w:sz w:val="20"/>
          <w:szCs w:val="20"/>
          <w:highlight w:val="none"/>
          <w:lang w:val="en-US" w:eastAsia="zh-CN"/>
        </w:rPr>
        <w:t>Support UE/TRP reporting the carrier phase measurement quality together with the phase measurement result</w:t>
      </w:r>
      <w:r>
        <w:rPr>
          <w:rFonts w:hint="default" w:ascii="Times New Roman" w:hAnsi="Times New Roman" w:cs="Times New Roman"/>
          <w:b/>
          <w:bCs/>
          <w:i/>
          <w:iCs/>
          <w:sz w:val="20"/>
          <w:szCs w:val="20"/>
          <w:highlight w:val="none"/>
        </w:rPr>
        <w:t>.</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_Ref23552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sz w:val="20"/>
          <w:szCs w:val="20"/>
          <w:highlight w:val="none"/>
        </w:rPr>
        <w:t xml:space="preserve">Proposal 4: </w:t>
      </w:r>
      <w:r>
        <w:rPr>
          <w:rFonts w:hint="default" w:ascii="Times New Roman" w:hAnsi="Times New Roman" w:cs="Times New Roman"/>
          <w:b/>
          <w:bCs/>
          <w:i/>
          <w:sz w:val="20"/>
          <w:szCs w:val="20"/>
          <w:highlight w:val="none"/>
          <w:lang w:val="en-US" w:eastAsia="zh-CN"/>
        </w:rPr>
        <w:t>For carrier phase measurement report, only support M = 1 sample.</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_Ref18301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sz w:val="20"/>
          <w:szCs w:val="20"/>
          <w:highlight w:val="none"/>
        </w:rPr>
        <w:t xml:space="preserve">Proposal 5: </w:t>
      </w:r>
      <w:r>
        <w:rPr>
          <w:rFonts w:hint="default" w:ascii="Times New Roman" w:hAnsi="Times New Roman" w:cs="Times New Roman"/>
          <w:b/>
          <w:bCs/>
          <w:i/>
          <w:iCs/>
          <w:sz w:val="20"/>
          <w:szCs w:val="20"/>
          <w:highlight w:val="none"/>
          <w:lang w:val="en-US" w:eastAsia="zh-CN"/>
        </w:rPr>
        <w:t>Support UE/TRP reporting the carrier phase of the first path only.</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_Ref23558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val="0"/>
          <w:sz w:val="20"/>
          <w:szCs w:val="20"/>
          <w:highlight w:val="none"/>
          <w:lang w:val="en-CA"/>
        </w:rPr>
        <w:t xml:space="preserve">Proposal 6: </w:t>
      </w:r>
      <w:r>
        <w:rPr>
          <w:rFonts w:hint="default" w:ascii="Times New Roman" w:hAnsi="Times New Roman" w:cs="Times New Roman"/>
          <w:b/>
          <w:bCs/>
          <w:i/>
          <w:iCs w:val="0"/>
          <w:sz w:val="20"/>
          <w:szCs w:val="20"/>
          <w:highlight w:val="none"/>
          <w:lang w:val="en-US" w:eastAsia="zh-CN"/>
        </w:rPr>
        <w:t>S</w:t>
      </w:r>
      <w:r>
        <w:rPr>
          <w:rFonts w:hint="default" w:ascii="Times New Roman" w:hAnsi="Times New Roman" w:cs="Times New Roman"/>
          <w:b/>
          <w:bCs/>
          <w:i/>
          <w:iCs w:val="0"/>
          <w:sz w:val="20"/>
          <w:szCs w:val="20"/>
          <w:highlight w:val="none"/>
          <w:lang w:val="en-CA"/>
        </w:rPr>
        <w:t xml:space="preserve">upport enabling </w:t>
      </w:r>
      <w:r>
        <w:rPr>
          <w:rFonts w:hint="default" w:ascii="Times New Roman" w:hAnsi="Times New Roman" w:cs="Times New Roman"/>
          <w:b/>
          <w:bCs/>
          <w:i/>
          <w:iCs w:val="0"/>
          <w:sz w:val="20"/>
          <w:szCs w:val="20"/>
          <w:highlight w:val="none"/>
          <w:lang w:val="en-US" w:eastAsia="zh-CN"/>
        </w:rPr>
        <w:t xml:space="preserve">PRU to report </w:t>
      </w:r>
      <w:bookmarkStart w:id="29" w:name="_GoBack"/>
      <w:bookmarkEnd w:id="29"/>
      <w:r>
        <w:rPr>
          <w:rFonts w:hint="default" w:ascii="Times New Roman" w:hAnsi="Times New Roman" w:cs="Times New Roman"/>
          <w:b/>
          <w:bCs/>
          <w:i/>
          <w:iCs w:val="0"/>
          <w:sz w:val="20"/>
          <w:szCs w:val="20"/>
          <w:highlight w:val="none"/>
          <w:lang w:val="en-US" w:eastAsia="zh-CN"/>
        </w:rPr>
        <w:t>ARP error and phase error information.</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_Ref23562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val="0"/>
          <w:sz w:val="20"/>
          <w:szCs w:val="20"/>
          <w:highlight w:val="none"/>
          <w:lang w:val="en-CA"/>
        </w:rPr>
        <w:t xml:space="preserve">Proposal 7: </w:t>
      </w:r>
      <w:r>
        <w:rPr>
          <w:rFonts w:hint="default" w:ascii="Times New Roman" w:hAnsi="Times New Roman" w:cs="Times New Roman"/>
          <w:b/>
          <w:bCs/>
          <w:i/>
          <w:iCs w:val="0"/>
          <w:sz w:val="20"/>
          <w:szCs w:val="20"/>
          <w:highlight w:val="none"/>
          <w:lang w:val="en-US" w:eastAsia="zh-CN"/>
        </w:rPr>
        <w:t>For UE-based positioning, s</w:t>
      </w:r>
      <w:r>
        <w:rPr>
          <w:rFonts w:hint="default" w:ascii="Times New Roman" w:hAnsi="Times New Roman" w:cs="Times New Roman"/>
          <w:b/>
          <w:bCs/>
          <w:i/>
          <w:iCs w:val="0"/>
          <w:sz w:val="20"/>
          <w:szCs w:val="20"/>
          <w:highlight w:val="none"/>
          <w:lang w:val="en-CA"/>
        </w:rPr>
        <w:t>upport enabling LMF to forward</w:t>
      </w:r>
      <w:r>
        <w:rPr>
          <w:rFonts w:hint="default" w:ascii="Times New Roman" w:hAnsi="Times New Roman" w:cs="Times New Roman"/>
          <w:b/>
          <w:bCs/>
          <w:i/>
          <w:iCs w:val="0"/>
          <w:sz w:val="20"/>
          <w:szCs w:val="20"/>
          <w:highlight w:val="none"/>
          <w:lang w:val="en-US" w:eastAsia="zh-CN"/>
        </w:rPr>
        <w:t xml:space="preserve"> ARP error and phase error information.</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_Ref23565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sz w:val="20"/>
          <w:szCs w:val="20"/>
          <w:highlight w:val="none"/>
        </w:rPr>
        <w:t xml:space="preserve">Proposal 8: Support measuring and reporting the carrier phase of multiple sub-carriers/segments in one carrier/PFL. </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_Ref18376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sz w:val="20"/>
          <w:szCs w:val="20"/>
          <w:highlight w:val="none"/>
        </w:rPr>
        <w:t xml:space="preserve">Proposal 9: If a UE/TRP </w:t>
      </w:r>
      <w:r>
        <w:rPr>
          <w:rFonts w:hint="default" w:ascii="Times New Roman" w:hAnsi="Times New Roman" w:cs="Times New Roman"/>
          <w:b/>
          <w:bCs/>
          <w:i/>
          <w:iCs/>
          <w:sz w:val="20"/>
          <w:szCs w:val="20"/>
          <w:highlight w:val="none"/>
          <w:lang w:val="en-US" w:eastAsia="zh-CN"/>
        </w:rPr>
        <w:t>supports</w:t>
      </w:r>
      <w:r>
        <w:rPr>
          <w:rFonts w:hint="default" w:ascii="Times New Roman" w:hAnsi="Times New Roman" w:cs="Times New Roman"/>
          <w:b/>
          <w:bCs/>
          <w:i/>
          <w:iCs/>
          <w:sz w:val="20"/>
          <w:szCs w:val="20"/>
          <w:highlight w:val="none"/>
        </w:rPr>
        <w:t xml:space="preserve"> the carrier phase measurements of more than one frequencies within a PFL/carrier, the following enhancement can be supported:</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widowControl w:val="0"/>
        <w:kinsoku/>
        <w:wordWrap/>
        <w:overflowPunct/>
        <w:topLinePunct w:val="0"/>
        <w:bidi w:val="0"/>
        <w:adjustRightInd w:val="0"/>
        <w:snapToGrid w:val="0"/>
        <w:spacing w:after="0" w:line="240" w:lineRule="auto"/>
        <w:ind w:firstLine="720"/>
        <w:jc w:val="both"/>
        <w:textAlignment w:val="auto"/>
        <w:rPr>
          <w:rFonts w:hint="default" w:ascii="Times New Roman" w:hAnsi="Times New Roman" w:cs="Times New Roman"/>
          <w:b/>
          <w:bCs/>
          <w:i/>
          <w:iCs w:val="0"/>
          <w:sz w:val="20"/>
          <w:szCs w:val="20"/>
          <w:highlight w:val="none"/>
        </w:rPr>
      </w:pPr>
      <w:r>
        <w:rPr>
          <w:rFonts w:hint="default" w:ascii="Times New Roman" w:hAnsi="Times New Roman" w:cs="Times New Roman"/>
          <w:b/>
          <w:bCs/>
          <w:i/>
          <w:iCs w:val="0"/>
          <w:sz w:val="20"/>
          <w:szCs w:val="20"/>
          <w:highlight w:val="none"/>
        </w:rPr>
        <w:t>-LMF configures the number of PRBs/sub-carriers for each carrier phase measurement report.</w:t>
      </w:r>
    </w:p>
    <w:p>
      <w:pPr>
        <w:keepNext w:val="0"/>
        <w:keepLines w:val="0"/>
        <w:pageBreakBefore w:val="0"/>
        <w:widowControl w:val="0"/>
        <w:kinsoku/>
        <w:wordWrap/>
        <w:overflowPunct/>
        <w:topLinePunct w:val="0"/>
        <w:bidi w:val="0"/>
        <w:adjustRightInd w:val="0"/>
        <w:snapToGrid w:val="0"/>
        <w:spacing w:after="181" w:afterLines="50" w:line="240" w:lineRule="auto"/>
        <w:ind w:firstLine="720"/>
        <w:jc w:val="both"/>
        <w:textAlignment w:val="auto"/>
        <w:rPr>
          <w:rFonts w:hint="default" w:ascii="Times New Roman" w:hAnsi="Times New Roman" w:cs="Times New Roman"/>
          <w:b/>
          <w:bCs/>
          <w:i/>
          <w:iCs w:val="0"/>
          <w:sz w:val="20"/>
          <w:szCs w:val="20"/>
          <w:highlight w:val="none"/>
        </w:rPr>
      </w:pPr>
      <w:r>
        <w:rPr>
          <w:rFonts w:hint="default" w:ascii="Times New Roman" w:hAnsi="Times New Roman" w:cs="Times New Roman"/>
          <w:b/>
          <w:bCs/>
          <w:i/>
          <w:iCs w:val="0"/>
          <w:sz w:val="20"/>
          <w:szCs w:val="20"/>
          <w:highlight w:val="none"/>
        </w:rPr>
        <w:t>-LMF configures the number of carrier phase measurement reports for each PFL/carrier.</w:t>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_Ref12793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sz w:val="20"/>
          <w:szCs w:val="20"/>
          <w:highlight w:val="none"/>
        </w:rPr>
        <w:t xml:space="preserve">Proposal 10: </w:t>
      </w:r>
      <w:r>
        <w:rPr>
          <w:rFonts w:hint="default" w:ascii="Times New Roman" w:hAnsi="Times New Roman" w:cs="Times New Roman"/>
          <w:b/>
          <w:bCs/>
          <w:i/>
          <w:iCs/>
          <w:sz w:val="20"/>
          <w:szCs w:val="20"/>
          <w:highlight w:val="none"/>
          <w:lang w:val="en-US" w:eastAsia="zh-CN"/>
        </w:rPr>
        <w:t xml:space="preserve">For signalling concerning the integer ambiguity, at least support LMF providing the range </w:t>
      </w:r>
      <w:r>
        <w:rPr>
          <w:rFonts w:hint="default" w:ascii="Times New Roman" w:hAnsi="Times New Roman" w:cs="Times New Roman"/>
          <w:b/>
          <w:bCs/>
          <w:i/>
          <w:iCs/>
          <w:sz w:val="20"/>
          <w:szCs w:val="20"/>
          <w:highlight w:val="none"/>
        </w:rPr>
        <w:t xml:space="preserve">of integer </w:t>
      </w:r>
      <w:r>
        <w:rPr>
          <w:rFonts w:hint="default" w:ascii="Times New Roman" w:hAnsi="Times New Roman" w:cs="Times New Roman"/>
          <w:b/>
          <w:bCs/>
          <w:i/>
          <w:iCs/>
          <w:sz w:val="20"/>
          <w:szCs w:val="20"/>
          <w:highlight w:val="none"/>
          <w:lang w:val="en-US" w:eastAsia="zh-CN"/>
        </w:rPr>
        <w:t xml:space="preserve">to UE </w:t>
      </w:r>
      <w:r>
        <w:rPr>
          <w:rFonts w:hint="default" w:ascii="Times New Roman" w:hAnsi="Times New Roman" w:cs="Times New Roman"/>
          <w:b/>
          <w:bCs/>
          <w:i/>
          <w:iCs/>
          <w:sz w:val="20"/>
          <w:szCs w:val="20"/>
          <w:highlight w:val="none"/>
        </w:rPr>
        <w:t>for UE</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bCs/>
          <w:i/>
          <w:iCs/>
          <w:sz w:val="20"/>
          <w:szCs w:val="20"/>
          <w:highlight w:val="none"/>
        </w:rPr>
        <w:t xml:space="preserve">based </w:t>
      </w:r>
      <w:r>
        <w:rPr>
          <w:rFonts w:hint="default" w:ascii="Times New Roman" w:hAnsi="Times New Roman" w:cs="Times New Roman"/>
          <w:b/>
          <w:bCs/>
          <w:i/>
          <w:iCs/>
          <w:sz w:val="20"/>
          <w:szCs w:val="20"/>
          <w:highlight w:val="none"/>
          <w:lang w:val="en-US" w:eastAsia="zh-CN"/>
        </w:rPr>
        <w:t xml:space="preserve">NR </w:t>
      </w:r>
      <w:r>
        <w:rPr>
          <w:rFonts w:hint="default" w:ascii="Times New Roman" w:hAnsi="Times New Roman" w:cs="Times New Roman"/>
          <w:b/>
          <w:bCs/>
          <w:i/>
          <w:iCs/>
          <w:sz w:val="20"/>
          <w:szCs w:val="20"/>
          <w:highlight w:val="none"/>
        </w:rPr>
        <w:t>carrier phase positioning.</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_Ref6952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sz w:val="20"/>
          <w:szCs w:val="20"/>
          <w:highlight w:val="none"/>
        </w:rPr>
        <w:t>Proposal 11: To address the impact of the phase delays on Tx/Rx RF chains, support the following option:</w:t>
      </w:r>
      <w:r>
        <w:rPr>
          <w:rFonts w:hint="default" w:ascii="Times New Roman" w:hAnsi="Times New Roman" w:cs="Times New Roman"/>
          <w:b/>
          <w:bCs/>
          <w:i/>
          <w:iCs w:val="0"/>
          <w:sz w:val="20"/>
          <w:szCs w:val="20"/>
          <w:highlight w:val="none"/>
          <w:lang w:eastAsia="zh-CN"/>
        </w:rPr>
        <w:fldChar w:fldCharType="end"/>
      </w:r>
    </w:p>
    <w:p>
      <w:pPr>
        <w:keepNext w:val="0"/>
        <w:keepLines w:val="0"/>
        <w:pageBreakBefore w:val="0"/>
        <w:numPr>
          <w:ilvl w:val="0"/>
          <w:numId w:val="4"/>
        </w:numPr>
        <w:kinsoku/>
        <w:wordWrap/>
        <w:overflowPunct/>
        <w:topLinePunct w:val="0"/>
        <w:bidi w:val="0"/>
        <w:adjustRightInd w:val="0"/>
        <w:snapToGrid w:val="0"/>
        <w:spacing w:after="181" w:afterLines="50" w:line="240" w:lineRule="auto"/>
        <w:contextualSpacing/>
        <w:jc w:val="both"/>
        <w:textAlignment w:val="auto"/>
        <w:rPr>
          <w:rFonts w:hint="default" w:ascii="Times New Roman" w:hAnsi="Times New Roman" w:cs="Times New Roman"/>
          <w:b/>
          <w:bCs/>
          <w:i/>
          <w:iCs w:val="0"/>
          <w:sz w:val="20"/>
          <w:szCs w:val="20"/>
          <w:highlight w:val="none"/>
        </w:rPr>
      </w:pPr>
      <w:r>
        <w:rPr>
          <w:rFonts w:hint="default" w:ascii="Times New Roman" w:hAnsi="Times New Roman" w:cs="Times New Roman"/>
          <w:b/>
          <w:bCs/>
          <w:i/>
          <w:iCs w:val="0"/>
          <w:sz w:val="20"/>
          <w:szCs w:val="20"/>
          <w:highlight w:val="none"/>
        </w:rPr>
        <w:t xml:space="preserve">Option 1a: introduce the definition of UE/TRP Tx/Rx phase error groups (PEGs) for the Tx/Rx of DL PRS/UL SRS signals </w:t>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val="en-US" w:eastAsia="zh-CN"/>
        </w:rPr>
        <w:fldChar w:fldCharType="begin"/>
      </w:r>
      <w:r>
        <w:rPr>
          <w:rFonts w:hint="default" w:ascii="Times New Roman" w:hAnsi="Times New Roman" w:cs="Times New Roman"/>
          <w:b/>
          <w:bCs/>
          <w:i/>
          <w:iCs w:val="0"/>
          <w:sz w:val="20"/>
          <w:szCs w:val="20"/>
          <w:highlight w:val="none"/>
          <w:lang w:val="en-US" w:eastAsia="zh-CN"/>
        </w:rPr>
        <w:instrText xml:space="preserve"> REF _Ref30312 \h </w:instrText>
      </w:r>
      <w:r>
        <w:rPr>
          <w:rFonts w:hint="default" w:ascii="Times New Roman" w:hAnsi="Times New Roman" w:cs="Times New Roman"/>
          <w:b/>
          <w:bCs/>
          <w:i/>
          <w:iCs w:val="0"/>
          <w:sz w:val="20"/>
          <w:szCs w:val="20"/>
          <w:highlight w:val="none"/>
          <w:lang w:val="en-US" w:eastAsia="zh-CN"/>
        </w:rPr>
        <w:fldChar w:fldCharType="separate"/>
      </w:r>
      <w:r>
        <w:rPr>
          <w:rFonts w:hint="default" w:ascii="Times New Roman" w:hAnsi="Times New Roman" w:cs="Times New Roman"/>
          <w:b/>
          <w:bCs/>
          <w:i/>
          <w:iCs w:val="0"/>
          <w:sz w:val="20"/>
          <w:szCs w:val="20"/>
          <w:highlight w:val="none"/>
          <w:lang w:eastAsia="zh-CN"/>
        </w:rPr>
        <w:t xml:space="preserve">Proposal 12: </w:t>
      </w:r>
      <w:r>
        <w:rPr>
          <w:rFonts w:hint="default" w:ascii="Times New Roman" w:hAnsi="Times New Roman" w:cs="Times New Roman"/>
          <w:b/>
          <w:bCs/>
          <w:i/>
          <w:iCs w:val="0"/>
          <w:sz w:val="20"/>
          <w:szCs w:val="20"/>
          <w:highlight w:val="none"/>
          <w:lang w:val="en-US" w:eastAsia="zh-CN"/>
        </w:rPr>
        <w:t>The number of consecutive slots of each time window can be set as INTEGER (1,...,10).</w:t>
      </w:r>
      <w:r>
        <w:rPr>
          <w:rFonts w:hint="default" w:ascii="Times New Roman" w:hAnsi="Times New Roman" w:cs="Times New Roman"/>
          <w:b/>
          <w:bCs/>
          <w:i/>
          <w:iCs w:val="0"/>
          <w:sz w:val="20"/>
          <w:szCs w:val="20"/>
          <w:highlight w:val="none"/>
          <w:lang w:val="en-US" w:eastAsia="zh-CN"/>
        </w:rPr>
        <w:fldChar w:fldCharType="end"/>
      </w:r>
    </w:p>
    <w:p>
      <w:pPr>
        <w:keepNext w:val="0"/>
        <w:keepLines w:val="0"/>
        <w:pageBreakBefore w:val="0"/>
        <w:kinsoku/>
        <w:wordWrap/>
        <w:overflowPunct/>
        <w:topLinePunct w:val="0"/>
        <w:autoSpaceDE w:val="0"/>
        <w:autoSpaceDN w:val="0"/>
        <w:bidi w:val="0"/>
        <w:adjustRightInd w:val="0"/>
        <w:snapToGrid w:val="0"/>
        <w:spacing w:after="181" w:afterLines="50" w:line="240" w:lineRule="auto"/>
        <w:jc w:val="both"/>
        <w:textAlignment w:val="auto"/>
        <w:rPr>
          <w:rFonts w:hint="default" w:ascii="Times New Roman" w:hAnsi="Times New Roman" w:cs="Times New Roman"/>
          <w:b/>
          <w:bCs/>
          <w:i/>
          <w:iCs w:val="0"/>
          <w:sz w:val="20"/>
          <w:szCs w:val="20"/>
          <w:highlight w:val="none"/>
          <w:lang w:eastAsia="zh-CN"/>
        </w:rPr>
      </w:pPr>
      <w:r>
        <w:rPr>
          <w:rFonts w:hint="default" w:ascii="Times New Roman" w:hAnsi="Times New Roman" w:cs="Times New Roman"/>
          <w:b/>
          <w:bCs/>
          <w:i/>
          <w:iCs w:val="0"/>
          <w:sz w:val="20"/>
          <w:szCs w:val="20"/>
          <w:highlight w:val="none"/>
          <w:lang w:eastAsia="zh-CN"/>
        </w:rPr>
        <w:fldChar w:fldCharType="begin"/>
      </w:r>
      <w:r>
        <w:rPr>
          <w:rFonts w:hint="default" w:ascii="Times New Roman" w:hAnsi="Times New Roman" w:cs="Times New Roman"/>
          <w:b/>
          <w:bCs/>
          <w:i/>
          <w:iCs w:val="0"/>
          <w:sz w:val="20"/>
          <w:szCs w:val="20"/>
          <w:highlight w:val="none"/>
          <w:lang w:eastAsia="zh-CN"/>
        </w:rPr>
        <w:instrText xml:space="preserve"> REF _Ref23584 \h </w:instrText>
      </w:r>
      <w:r>
        <w:rPr>
          <w:rFonts w:hint="default" w:ascii="Times New Roman" w:hAnsi="Times New Roman" w:cs="Times New Roman"/>
          <w:b/>
          <w:bCs/>
          <w:i/>
          <w:iCs w:val="0"/>
          <w:sz w:val="20"/>
          <w:szCs w:val="20"/>
          <w:highlight w:val="none"/>
          <w:lang w:eastAsia="zh-CN"/>
        </w:rPr>
        <w:fldChar w:fldCharType="separate"/>
      </w:r>
      <w:r>
        <w:rPr>
          <w:rFonts w:hint="default" w:ascii="Times New Roman" w:hAnsi="Times New Roman" w:cs="Times New Roman"/>
          <w:b/>
          <w:bCs/>
          <w:i/>
          <w:iCs w:val="0"/>
          <w:sz w:val="20"/>
          <w:szCs w:val="20"/>
          <w:highlight w:val="none"/>
          <w:lang w:eastAsia="zh-CN"/>
        </w:rPr>
        <w:t xml:space="preserve">Proposal 13: </w:t>
      </w:r>
      <w:r>
        <w:rPr>
          <w:rFonts w:hint="default" w:ascii="Times New Roman" w:hAnsi="Times New Roman" w:cs="Times New Roman"/>
          <w:b/>
          <w:bCs/>
          <w:i/>
          <w:iCs w:val="0"/>
          <w:sz w:val="20"/>
          <w:szCs w:val="20"/>
          <w:highlight w:val="none"/>
          <w:lang w:val="en-US" w:eastAsia="zh-CN"/>
        </w:rPr>
        <w:t>The maximum number of the windows for simultaneous PRS measurement can be set as 4 windows for UE and PRU.</w:t>
      </w:r>
      <w:r>
        <w:rPr>
          <w:rFonts w:hint="default" w:ascii="Times New Roman" w:hAnsi="Times New Roman" w:cs="Times New Roman"/>
          <w:b/>
          <w:bCs/>
          <w:i/>
          <w:iCs w:val="0"/>
          <w:sz w:val="20"/>
          <w:szCs w:val="20"/>
          <w:highlight w:val="none"/>
          <w:lang w:eastAsia="zh-CN"/>
        </w:rPr>
        <w:fldChar w:fldCharType="end"/>
      </w:r>
    </w:p>
    <w:p>
      <w:pPr>
        <w:pStyle w:val="2"/>
        <w:snapToGrid w:val="0"/>
        <w:spacing w:before="120" w:after="180" w:afterLines="50"/>
        <w:ind w:left="431" w:hanging="431"/>
        <w:jc w:val="both"/>
        <w:rPr>
          <w:rFonts w:ascii="Times New Roman" w:hAnsi="Times New Roman"/>
          <w:sz w:val="28"/>
          <w:highlight w:val="none"/>
          <w:lang w:val="en-US"/>
        </w:rPr>
      </w:pPr>
      <w:r>
        <w:rPr>
          <w:rFonts w:ascii="Times New Roman" w:hAnsi="Times New Roman"/>
          <w:sz w:val="28"/>
          <w:highlight w:val="none"/>
          <w:lang w:val="en-US"/>
        </w:rPr>
        <w:t>Reference</w:t>
      </w:r>
    </w:p>
    <w:p>
      <w:pPr>
        <w:numPr>
          <w:ilvl w:val="0"/>
          <w:numId w:val="13"/>
        </w:numPr>
        <w:autoSpaceDE w:val="0"/>
        <w:autoSpaceDN w:val="0"/>
        <w:adjustRightInd w:val="0"/>
        <w:snapToGrid w:val="0"/>
        <w:spacing w:after="0" w:line="240" w:lineRule="auto"/>
        <w:jc w:val="both"/>
        <w:rPr>
          <w:rFonts w:hint="default" w:ascii="Times New Roman" w:hAnsi="Times New Roman" w:eastAsia="宋体" w:cs="Times New Roman"/>
          <w:sz w:val="20"/>
          <w:szCs w:val="20"/>
          <w:highlight w:val="none"/>
          <w:lang w:val="en-US"/>
        </w:rPr>
      </w:pPr>
      <w:r>
        <w:rPr>
          <w:rFonts w:hint="default" w:ascii="Times New Roman" w:hAnsi="Times New Roman" w:eastAsia="宋体" w:cs="Times New Roman"/>
          <w:sz w:val="20"/>
          <w:szCs w:val="20"/>
          <w:highlight w:val="none"/>
          <w:lang w:val="en-US"/>
        </w:rPr>
        <w:t>Draft Report of 3GPP TSG RAN WG1 #113 v0.1.0</w:t>
      </w:r>
      <w:r>
        <w:rPr>
          <w:rFonts w:hint="default"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rPr>
        <w:t>(Incheon, South Korea, 22nd – 26th May 2023)</w:t>
      </w:r>
    </w:p>
    <w:p>
      <w:pPr>
        <w:numPr>
          <w:ilvl w:val="0"/>
          <w:numId w:val="13"/>
        </w:numPr>
        <w:autoSpaceDE w:val="0"/>
        <w:autoSpaceDN w:val="0"/>
        <w:adjustRightInd w:val="0"/>
        <w:snapToGrid w:val="0"/>
        <w:spacing w:after="0" w:line="240" w:lineRule="auto"/>
        <w:jc w:val="both"/>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Draft Report of 3GPP TSG RAN WG1 #112bis-e v0.1.0 (Online, 17th - 26th April 2023).</w:t>
      </w:r>
    </w:p>
    <w:p>
      <w:pPr>
        <w:numPr>
          <w:ilvl w:val="0"/>
          <w:numId w:val="13"/>
        </w:numPr>
        <w:autoSpaceDE w:val="0"/>
        <w:autoSpaceDN w:val="0"/>
        <w:adjustRightInd w:val="0"/>
        <w:snapToGrid w:val="0"/>
        <w:spacing w:after="0" w:line="240" w:lineRule="auto"/>
        <w:jc w:val="both"/>
        <w:rPr>
          <w:rFonts w:hint="default" w:ascii="Times New Roman" w:hAnsi="Times New Roman" w:cs="Times New Roman"/>
          <w:kern w:val="2"/>
          <w:sz w:val="20"/>
          <w:szCs w:val="20"/>
          <w:highlight w:val="none"/>
          <w:lang w:val="en-US" w:eastAsia="zh-CN"/>
        </w:rPr>
      </w:pPr>
      <w:r>
        <w:rPr>
          <w:rFonts w:hint="default" w:ascii="Times New Roman" w:hAnsi="Times New Roman" w:cs="Times New Roman"/>
          <w:kern w:val="2"/>
          <w:sz w:val="20"/>
          <w:szCs w:val="20"/>
          <w:highlight w:val="none"/>
          <w:lang w:val="en-US" w:eastAsia="zh-CN"/>
        </w:rPr>
        <w:t>R1-2305972, FL Summary #3 for NR DL and UL carrier phase positioning, Moderator (CATT).</w:t>
      </w:r>
    </w:p>
    <w:p>
      <w:pPr>
        <w:numPr>
          <w:ilvl w:val="0"/>
          <w:numId w:val="13"/>
        </w:numPr>
        <w:autoSpaceDE w:val="0"/>
        <w:autoSpaceDN w:val="0"/>
        <w:adjustRightInd w:val="0"/>
        <w:snapToGrid w:val="0"/>
        <w:spacing w:after="0" w:line="240" w:lineRule="auto"/>
        <w:jc w:val="both"/>
        <w:rPr>
          <w:rFonts w:hint="default" w:ascii="Times New Roman" w:hAnsi="Times New Roman" w:eastAsia="宋体" w:cs="Times New Roman"/>
          <w:sz w:val="20"/>
          <w:szCs w:val="20"/>
          <w:highlight w:val="none"/>
        </w:rPr>
      </w:pPr>
      <w:bookmarkStart w:id="27" w:name="_Ref113546592"/>
      <w:r>
        <w:rPr>
          <w:rFonts w:hint="default" w:ascii="Times New Roman" w:hAnsi="Times New Roman" w:eastAsia="宋体" w:cs="Times New Roman"/>
          <w:sz w:val="20"/>
          <w:szCs w:val="20"/>
          <w:highlight w:val="none"/>
        </w:rPr>
        <w:t>RP-223549, New WID on Expanded and Improved NR Positioning, Intel Corporation, CATT, Ericsson, 3GPP TSG RAN Meeting #98-e.</w:t>
      </w:r>
      <w:bookmarkEnd w:id="27"/>
    </w:p>
    <w:p>
      <w:pPr>
        <w:numPr>
          <w:ilvl w:val="0"/>
          <w:numId w:val="13"/>
        </w:numPr>
        <w:autoSpaceDE w:val="0"/>
        <w:autoSpaceDN w:val="0"/>
        <w:adjustRightInd w:val="0"/>
        <w:snapToGrid w:val="0"/>
        <w:spacing w:after="0" w:line="240" w:lineRule="auto"/>
        <w:jc w:val="both"/>
        <w:rPr>
          <w:rFonts w:hint="default" w:ascii="Times New Roman" w:hAnsi="Times New Roman" w:eastAsia="宋体" w:cs="Times New Roman"/>
          <w:sz w:val="20"/>
          <w:szCs w:val="20"/>
          <w:highlight w:val="none"/>
        </w:rPr>
      </w:pPr>
      <w:bookmarkStart w:id="28" w:name="_Ref113987859"/>
      <w:r>
        <w:rPr>
          <w:rFonts w:hint="default" w:ascii="Times New Roman" w:hAnsi="Times New Roman" w:eastAsia="宋体" w:cs="Times New Roman"/>
          <w:sz w:val="20"/>
          <w:szCs w:val="20"/>
          <w:highlight w:val="none"/>
        </w:rPr>
        <w:t>R1-2209215, Discussion on carrier phase measurement based positioning, ZTE, 3GPP RAN1#110b-e.</w:t>
      </w:r>
      <w:bookmarkEnd w:id="28"/>
    </w:p>
    <w:p>
      <w:pPr>
        <w:numPr>
          <w:ilvl w:val="0"/>
          <w:numId w:val="13"/>
        </w:numPr>
        <w:autoSpaceDE w:val="0"/>
        <w:autoSpaceDN w:val="0"/>
        <w:adjustRightInd w:val="0"/>
        <w:snapToGrid w:val="0"/>
        <w:spacing w:after="0" w:line="240" w:lineRule="auto"/>
        <w:jc w:val="both"/>
        <w:rPr>
          <w:rFonts w:hint="default" w:ascii="Times New Roman" w:hAnsi="Times New Roman" w:cs="Times New Roman"/>
          <w:kern w:val="2"/>
          <w:sz w:val="20"/>
          <w:szCs w:val="20"/>
          <w:highlight w:val="none"/>
          <w:lang w:val="en-US" w:eastAsia="zh-CN"/>
        </w:rPr>
      </w:pPr>
      <w:r>
        <w:rPr>
          <w:rFonts w:hint="default" w:ascii="Times New Roman" w:hAnsi="Times New Roman" w:eastAsia="宋体" w:cs="Times New Roman"/>
          <w:sz w:val="20"/>
          <w:szCs w:val="20"/>
          <w:highlight w:val="none"/>
        </w:rPr>
        <w:t>R1-2212520, Discussion on carrier phase measurement based positioning, ZTE, 3GPP RAN1#111.</w:t>
      </w:r>
    </w:p>
    <w:p>
      <w:pPr>
        <w:numPr>
          <w:ilvl w:val="0"/>
          <w:numId w:val="13"/>
        </w:numPr>
        <w:autoSpaceDE w:val="0"/>
        <w:autoSpaceDN w:val="0"/>
        <w:adjustRightInd w:val="0"/>
        <w:snapToGrid w:val="0"/>
        <w:spacing w:after="0" w:line="240" w:lineRule="auto"/>
        <w:jc w:val="both"/>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Draft Report of 3GPP TSG RAN WG1 #112 v0.4.0 (Athens, Greece, 27th February – 3rd March 2023).</w:t>
      </w:r>
    </w:p>
    <w:p>
      <w:pPr>
        <w:numPr>
          <w:ilvl w:val="0"/>
          <w:numId w:val="0"/>
        </w:numPr>
        <w:autoSpaceDE w:val="0"/>
        <w:autoSpaceDN w:val="0"/>
        <w:adjustRightInd w:val="0"/>
        <w:snapToGrid w:val="0"/>
        <w:spacing w:after="0" w:line="240" w:lineRule="auto"/>
        <w:jc w:val="both"/>
        <w:rPr>
          <w:rFonts w:hint="default" w:ascii="Times New Roman" w:hAnsi="Times New Roman" w:cs="Times New Roman"/>
          <w:kern w:val="2"/>
          <w:sz w:val="20"/>
          <w:szCs w:val="20"/>
          <w:highlight w:val="none"/>
          <w:lang w:val="en-US" w:eastAsia="zh-CN"/>
        </w:rPr>
      </w:pPr>
    </w:p>
    <w:sectPr>
      <w:footerReference r:id="rId5" w:type="default"/>
      <w:type w:val="continuous"/>
      <w:pgSz w:w="11906" w:h="16838"/>
      <w:pgMar w:top="1440" w:right="1440" w:bottom="1440" w:left="1440" w:header="720" w:footer="720" w:gutter="0"/>
      <w:cols w:space="0" w:num="1"/>
      <w:rtlGutter w:val="0"/>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rFonts w:hint="default"/>
        <w:i w:val="0"/>
        <w:iCs w:val="0"/>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2722256"/>
    <w:multiLevelType w:val="singleLevel"/>
    <w:tmpl w:val="C2722256"/>
    <w:lvl w:ilvl="0" w:tentative="0">
      <w:start w:val="1"/>
      <w:numFmt w:val="decimal"/>
      <w:suff w:val="space"/>
      <w:lvlText w:val="%1)"/>
      <w:lvlJc w:val="left"/>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27592C34"/>
    <w:multiLevelType w:val="multilevel"/>
    <w:tmpl w:val="27592C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0CA0177"/>
    <w:multiLevelType w:val="multilevel"/>
    <w:tmpl w:val="30CA0177"/>
    <w:lvl w:ilvl="0" w:tentative="0">
      <w:start w:val="1"/>
      <w:numFmt w:val="bullet"/>
      <w:lvlText w:val=""/>
      <w:lvlJc w:val="left"/>
      <w:pPr>
        <w:ind w:left="720" w:hanging="360"/>
      </w:pPr>
      <w:rPr>
        <w:rFonts w:hint="default" w:ascii="Symbol" w:hAnsi="Symbol"/>
        <w:b w:val="0"/>
        <w:i w:val="0"/>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17F6AFB"/>
    <w:multiLevelType w:val="multilevel"/>
    <w:tmpl w:val="417F6AFB"/>
    <w:lvl w:ilvl="0" w:tentative="0">
      <w:start w:val="1"/>
      <w:numFmt w:val="bullet"/>
      <w:pStyle w:val="9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2BE4826"/>
    <w:multiLevelType w:val="multilevel"/>
    <w:tmpl w:val="42BE48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4B34F0D"/>
    <w:multiLevelType w:val="multilevel"/>
    <w:tmpl w:val="44B34F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4E0AAA"/>
    <w:multiLevelType w:val="multilevel"/>
    <w:tmpl w:val="5B4E0AAA"/>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10">
    <w:nsid w:val="5D850E11"/>
    <w:multiLevelType w:val="multilevel"/>
    <w:tmpl w:val="5D850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AB6856"/>
    <w:multiLevelType w:val="multilevel"/>
    <w:tmpl w:val="72AB68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4A47C96"/>
    <w:multiLevelType w:val="multilevel"/>
    <w:tmpl w:val="74A47C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3"/>
  </w:num>
  <w:num w:numId="4">
    <w:abstractNumId w:val="9"/>
  </w:num>
  <w:num w:numId="5">
    <w:abstractNumId w:val="10"/>
  </w:num>
  <w:num w:numId="6">
    <w:abstractNumId w:val="4"/>
  </w:num>
  <w:num w:numId="7">
    <w:abstractNumId w:val="5"/>
  </w:num>
  <w:num w:numId="8">
    <w:abstractNumId w:val="12"/>
  </w:num>
  <w:num w:numId="9">
    <w:abstractNumId w:val="11"/>
  </w:num>
  <w:num w:numId="10">
    <w:abstractNumId w:val="7"/>
  </w:num>
  <w:num w:numId="11">
    <w:abstractNumId w:val="2"/>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08"/>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5D"/>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6C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4FE"/>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1FAE"/>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39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63D"/>
    <w:rsid w:val="000B2A46"/>
    <w:rsid w:val="000B2A84"/>
    <w:rsid w:val="000B2A98"/>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8A"/>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E91"/>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424"/>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2990"/>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115"/>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420"/>
    <w:rsid w:val="001766ED"/>
    <w:rsid w:val="001769F1"/>
    <w:rsid w:val="00176B19"/>
    <w:rsid w:val="00176B66"/>
    <w:rsid w:val="00176C11"/>
    <w:rsid w:val="00176C67"/>
    <w:rsid w:val="00176D05"/>
    <w:rsid w:val="0017730A"/>
    <w:rsid w:val="001773F2"/>
    <w:rsid w:val="001774B7"/>
    <w:rsid w:val="00177926"/>
    <w:rsid w:val="00177D21"/>
    <w:rsid w:val="00177ECD"/>
    <w:rsid w:val="00180357"/>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2B9"/>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5F18"/>
    <w:rsid w:val="002462DB"/>
    <w:rsid w:val="002463AD"/>
    <w:rsid w:val="00246452"/>
    <w:rsid w:val="00246470"/>
    <w:rsid w:val="00246488"/>
    <w:rsid w:val="00246617"/>
    <w:rsid w:val="002469E9"/>
    <w:rsid w:val="00246A3D"/>
    <w:rsid w:val="00246F00"/>
    <w:rsid w:val="00247284"/>
    <w:rsid w:val="00247359"/>
    <w:rsid w:val="00247AEE"/>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0C5"/>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4F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75"/>
    <w:rsid w:val="003908BC"/>
    <w:rsid w:val="00390D2F"/>
    <w:rsid w:val="00390D93"/>
    <w:rsid w:val="00390F2A"/>
    <w:rsid w:val="00391454"/>
    <w:rsid w:val="003918F2"/>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51D"/>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59A"/>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2F63"/>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5D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0FB"/>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2E8"/>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C2B"/>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AB"/>
    <w:rsid w:val="004F398E"/>
    <w:rsid w:val="004F39AB"/>
    <w:rsid w:val="004F3AA1"/>
    <w:rsid w:val="004F3B42"/>
    <w:rsid w:val="004F3C7C"/>
    <w:rsid w:val="004F3CCF"/>
    <w:rsid w:val="004F3D39"/>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3E21"/>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16A"/>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4CB"/>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45"/>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8EE"/>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5DE"/>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6B7"/>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B57"/>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3D0"/>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4A16"/>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262"/>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958"/>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AB"/>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DBC"/>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27"/>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867"/>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8"/>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5F0"/>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A51"/>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DEB"/>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F6"/>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8B"/>
    <w:rsid w:val="00776ED8"/>
    <w:rsid w:val="007772D4"/>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E91"/>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5FCA"/>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3FFB"/>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65"/>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5A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542"/>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4A86"/>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0EAF"/>
    <w:rsid w:val="00851058"/>
    <w:rsid w:val="008511E6"/>
    <w:rsid w:val="008515B3"/>
    <w:rsid w:val="008515EC"/>
    <w:rsid w:val="00851659"/>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1E"/>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B9"/>
    <w:rsid w:val="00860FD1"/>
    <w:rsid w:val="0086122A"/>
    <w:rsid w:val="00861708"/>
    <w:rsid w:val="00861805"/>
    <w:rsid w:val="00861A4A"/>
    <w:rsid w:val="00861A83"/>
    <w:rsid w:val="00861B3A"/>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6B4E"/>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1FE3"/>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693"/>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2C"/>
    <w:rsid w:val="009A0572"/>
    <w:rsid w:val="009A078C"/>
    <w:rsid w:val="009A0940"/>
    <w:rsid w:val="009A1240"/>
    <w:rsid w:val="009A130F"/>
    <w:rsid w:val="009A13AD"/>
    <w:rsid w:val="009A18CA"/>
    <w:rsid w:val="009A193C"/>
    <w:rsid w:val="009A209D"/>
    <w:rsid w:val="009A2116"/>
    <w:rsid w:val="009A22B7"/>
    <w:rsid w:val="009A232F"/>
    <w:rsid w:val="009A3031"/>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CFC"/>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2F1"/>
    <w:rsid w:val="009D04FF"/>
    <w:rsid w:val="009D06D8"/>
    <w:rsid w:val="009D0842"/>
    <w:rsid w:val="009D0F2E"/>
    <w:rsid w:val="009D0FFC"/>
    <w:rsid w:val="009D1B87"/>
    <w:rsid w:val="009D1D3E"/>
    <w:rsid w:val="009D1E52"/>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D59"/>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1DC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0C5"/>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C77"/>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0E"/>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78"/>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EBA"/>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D14"/>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67BF0"/>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56D"/>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6F04"/>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970"/>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BE7"/>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690"/>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5C"/>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48"/>
    <w:rsid w:val="00AE19FC"/>
    <w:rsid w:val="00AE1A8F"/>
    <w:rsid w:val="00AE1B30"/>
    <w:rsid w:val="00AE1DF2"/>
    <w:rsid w:val="00AE21AD"/>
    <w:rsid w:val="00AE22A4"/>
    <w:rsid w:val="00AE22F1"/>
    <w:rsid w:val="00AE24A4"/>
    <w:rsid w:val="00AE2AAD"/>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0C"/>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01C"/>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1A"/>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C4"/>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34B"/>
    <w:rsid w:val="00B85470"/>
    <w:rsid w:val="00B85800"/>
    <w:rsid w:val="00B858A2"/>
    <w:rsid w:val="00B85942"/>
    <w:rsid w:val="00B85E01"/>
    <w:rsid w:val="00B85F9C"/>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16A"/>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1"/>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E31"/>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195"/>
    <w:rsid w:val="00C13453"/>
    <w:rsid w:val="00C135D2"/>
    <w:rsid w:val="00C136AD"/>
    <w:rsid w:val="00C137AE"/>
    <w:rsid w:val="00C138B9"/>
    <w:rsid w:val="00C138FB"/>
    <w:rsid w:val="00C13956"/>
    <w:rsid w:val="00C13C2F"/>
    <w:rsid w:val="00C13D0F"/>
    <w:rsid w:val="00C13F8D"/>
    <w:rsid w:val="00C13FBA"/>
    <w:rsid w:val="00C14200"/>
    <w:rsid w:val="00C14338"/>
    <w:rsid w:val="00C144AE"/>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38"/>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213"/>
    <w:rsid w:val="00C3665B"/>
    <w:rsid w:val="00C36719"/>
    <w:rsid w:val="00C36A68"/>
    <w:rsid w:val="00C36CB8"/>
    <w:rsid w:val="00C36E68"/>
    <w:rsid w:val="00C3704B"/>
    <w:rsid w:val="00C370BE"/>
    <w:rsid w:val="00C37283"/>
    <w:rsid w:val="00C375A7"/>
    <w:rsid w:val="00C375F5"/>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A04"/>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37F"/>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5B7"/>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A9"/>
    <w:rsid w:val="00D029C3"/>
    <w:rsid w:val="00D02C56"/>
    <w:rsid w:val="00D02CAC"/>
    <w:rsid w:val="00D02D53"/>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6BB7"/>
    <w:rsid w:val="00D0743E"/>
    <w:rsid w:val="00D07543"/>
    <w:rsid w:val="00D0754D"/>
    <w:rsid w:val="00D076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BE5"/>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542"/>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4CB"/>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2B"/>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092"/>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1EF"/>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77"/>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6F48"/>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5CC"/>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C73"/>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8CF"/>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B0"/>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4EB"/>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00"/>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AD"/>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CD0"/>
    <w:rsid w:val="00F63D00"/>
    <w:rsid w:val="00F641FB"/>
    <w:rsid w:val="00F64311"/>
    <w:rsid w:val="00F644C4"/>
    <w:rsid w:val="00F646C0"/>
    <w:rsid w:val="00F64B1F"/>
    <w:rsid w:val="00F64CA2"/>
    <w:rsid w:val="00F65160"/>
    <w:rsid w:val="00F651F0"/>
    <w:rsid w:val="00F65259"/>
    <w:rsid w:val="00F65292"/>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C47"/>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8E2"/>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5E"/>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0B2A"/>
    <w:rsid w:val="012E3D59"/>
    <w:rsid w:val="012E78A0"/>
    <w:rsid w:val="013340AD"/>
    <w:rsid w:val="01384A19"/>
    <w:rsid w:val="013A5D59"/>
    <w:rsid w:val="013C501C"/>
    <w:rsid w:val="013D4FA6"/>
    <w:rsid w:val="01464F0E"/>
    <w:rsid w:val="01484FD4"/>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EE5FA2"/>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A545F"/>
    <w:rsid w:val="031F008D"/>
    <w:rsid w:val="032A509F"/>
    <w:rsid w:val="032F4F77"/>
    <w:rsid w:val="03334938"/>
    <w:rsid w:val="0333596C"/>
    <w:rsid w:val="03375E7B"/>
    <w:rsid w:val="033912FE"/>
    <w:rsid w:val="03394321"/>
    <w:rsid w:val="03406AD4"/>
    <w:rsid w:val="034938C7"/>
    <w:rsid w:val="034E4F0F"/>
    <w:rsid w:val="034F290D"/>
    <w:rsid w:val="03513AB2"/>
    <w:rsid w:val="035279F8"/>
    <w:rsid w:val="03535FAB"/>
    <w:rsid w:val="035A6727"/>
    <w:rsid w:val="0360437B"/>
    <w:rsid w:val="03646BD7"/>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5373"/>
    <w:rsid w:val="03D11A1D"/>
    <w:rsid w:val="03D61EA0"/>
    <w:rsid w:val="03D974C6"/>
    <w:rsid w:val="03DC24B8"/>
    <w:rsid w:val="03E54BD6"/>
    <w:rsid w:val="03E73A64"/>
    <w:rsid w:val="03E82126"/>
    <w:rsid w:val="03F63AEF"/>
    <w:rsid w:val="03F8560A"/>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2238"/>
    <w:rsid w:val="0445405A"/>
    <w:rsid w:val="044A1114"/>
    <w:rsid w:val="044C008C"/>
    <w:rsid w:val="04552E83"/>
    <w:rsid w:val="045619E7"/>
    <w:rsid w:val="0456648E"/>
    <w:rsid w:val="04580ED4"/>
    <w:rsid w:val="045D0C1E"/>
    <w:rsid w:val="04616CCB"/>
    <w:rsid w:val="046D380D"/>
    <w:rsid w:val="046F363B"/>
    <w:rsid w:val="0473137D"/>
    <w:rsid w:val="04737418"/>
    <w:rsid w:val="04740FD2"/>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0F19D9"/>
    <w:rsid w:val="0512041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D4FD2"/>
    <w:rsid w:val="058D5C32"/>
    <w:rsid w:val="058E331A"/>
    <w:rsid w:val="05941672"/>
    <w:rsid w:val="059B236F"/>
    <w:rsid w:val="059B32A7"/>
    <w:rsid w:val="059E3691"/>
    <w:rsid w:val="059F5D9C"/>
    <w:rsid w:val="05A558D5"/>
    <w:rsid w:val="05A94C73"/>
    <w:rsid w:val="05B25404"/>
    <w:rsid w:val="05B35812"/>
    <w:rsid w:val="05B86725"/>
    <w:rsid w:val="05BB4C6D"/>
    <w:rsid w:val="05BE5A15"/>
    <w:rsid w:val="05C12962"/>
    <w:rsid w:val="05C23CE5"/>
    <w:rsid w:val="05C30024"/>
    <w:rsid w:val="05C31A0E"/>
    <w:rsid w:val="05C92259"/>
    <w:rsid w:val="05CC6A7E"/>
    <w:rsid w:val="05CF32AE"/>
    <w:rsid w:val="05CF3D91"/>
    <w:rsid w:val="05D75F40"/>
    <w:rsid w:val="05E02D26"/>
    <w:rsid w:val="05E31D83"/>
    <w:rsid w:val="05E6321E"/>
    <w:rsid w:val="05E80906"/>
    <w:rsid w:val="05F04C76"/>
    <w:rsid w:val="05F10131"/>
    <w:rsid w:val="05F23FCE"/>
    <w:rsid w:val="06062A83"/>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601A7"/>
    <w:rsid w:val="06371DED"/>
    <w:rsid w:val="06372BD3"/>
    <w:rsid w:val="06373C35"/>
    <w:rsid w:val="063E7244"/>
    <w:rsid w:val="06423400"/>
    <w:rsid w:val="064D07B4"/>
    <w:rsid w:val="06556880"/>
    <w:rsid w:val="06594ACC"/>
    <w:rsid w:val="065D0646"/>
    <w:rsid w:val="065E23F5"/>
    <w:rsid w:val="065E61A2"/>
    <w:rsid w:val="065F0CB5"/>
    <w:rsid w:val="066262A2"/>
    <w:rsid w:val="06655FAF"/>
    <w:rsid w:val="067E49F6"/>
    <w:rsid w:val="06870355"/>
    <w:rsid w:val="068F2552"/>
    <w:rsid w:val="06920AD8"/>
    <w:rsid w:val="06973A22"/>
    <w:rsid w:val="0699682E"/>
    <w:rsid w:val="069A134E"/>
    <w:rsid w:val="06A12BB8"/>
    <w:rsid w:val="06A13EFF"/>
    <w:rsid w:val="06A52641"/>
    <w:rsid w:val="06A6721A"/>
    <w:rsid w:val="06AF2646"/>
    <w:rsid w:val="06B277C2"/>
    <w:rsid w:val="06B311F6"/>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E2C7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06DFB"/>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66B10"/>
    <w:rsid w:val="0817007D"/>
    <w:rsid w:val="081A218A"/>
    <w:rsid w:val="081B5CC0"/>
    <w:rsid w:val="081E4875"/>
    <w:rsid w:val="08222CC0"/>
    <w:rsid w:val="08225938"/>
    <w:rsid w:val="082325E8"/>
    <w:rsid w:val="08284F7F"/>
    <w:rsid w:val="08344B4D"/>
    <w:rsid w:val="083B4289"/>
    <w:rsid w:val="083C682C"/>
    <w:rsid w:val="08410FA2"/>
    <w:rsid w:val="08416468"/>
    <w:rsid w:val="084518E0"/>
    <w:rsid w:val="08456538"/>
    <w:rsid w:val="084D265F"/>
    <w:rsid w:val="08533FDF"/>
    <w:rsid w:val="08594EDF"/>
    <w:rsid w:val="085B296F"/>
    <w:rsid w:val="08625F26"/>
    <w:rsid w:val="08655CD7"/>
    <w:rsid w:val="086B2DB5"/>
    <w:rsid w:val="086B5DA6"/>
    <w:rsid w:val="086C2511"/>
    <w:rsid w:val="08754A81"/>
    <w:rsid w:val="087B4E26"/>
    <w:rsid w:val="087B70D7"/>
    <w:rsid w:val="087B7B82"/>
    <w:rsid w:val="088376E1"/>
    <w:rsid w:val="088722D5"/>
    <w:rsid w:val="089055A6"/>
    <w:rsid w:val="089534B6"/>
    <w:rsid w:val="0897049D"/>
    <w:rsid w:val="08980BAB"/>
    <w:rsid w:val="08A44F08"/>
    <w:rsid w:val="08A75155"/>
    <w:rsid w:val="08A92676"/>
    <w:rsid w:val="08AA5BF5"/>
    <w:rsid w:val="08AB6847"/>
    <w:rsid w:val="08B14555"/>
    <w:rsid w:val="08C24EFE"/>
    <w:rsid w:val="08C8577F"/>
    <w:rsid w:val="08C97AC5"/>
    <w:rsid w:val="08D52288"/>
    <w:rsid w:val="08D924A9"/>
    <w:rsid w:val="08DA3FA8"/>
    <w:rsid w:val="08DF5637"/>
    <w:rsid w:val="08DF6022"/>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5C5FDB"/>
    <w:rsid w:val="095D178B"/>
    <w:rsid w:val="09616348"/>
    <w:rsid w:val="096C4215"/>
    <w:rsid w:val="096E4B93"/>
    <w:rsid w:val="096E4D5C"/>
    <w:rsid w:val="0978669A"/>
    <w:rsid w:val="097B640E"/>
    <w:rsid w:val="097E3F6C"/>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4391"/>
    <w:rsid w:val="0A265C5E"/>
    <w:rsid w:val="0A3A062B"/>
    <w:rsid w:val="0A3C576A"/>
    <w:rsid w:val="0A3F2D2D"/>
    <w:rsid w:val="0A47596A"/>
    <w:rsid w:val="0A490945"/>
    <w:rsid w:val="0A4F006D"/>
    <w:rsid w:val="0A545C1F"/>
    <w:rsid w:val="0A663A61"/>
    <w:rsid w:val="0A6A17FC"/>
    <w:rsid w:val="0A6F7D15"/>
    <w:rsid w:val="0A7018D5"/>
    <w:rsid w:val="0A702C52"/>
    <w:rsid w:val="0A7059D4"/>
    <w:rsid w:val="0A723635"/>
    <w:rsid w:val="0A7D6124"/>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B1EF7"/>
    <w:rsid w:val="0AFD036E"/>
    <w:rsid w:val="0AFD1EB9"/>
    <w:rsid w:val="0AFE08A2"/>
    <w:rsid w:val="0B0952D2"/>
    <w:rsid w:val="0B0E13D6"/>
    <w:rsid w:val="0B0E3AD4"/>
    <w:rsid w:val="0B176325"/>
    <w:rsid w:val="0B1A291A"/>
    <w:rsid w:val="0B1B5925"/>
    <w:rsid w:val="0B254CAA"/>
    <w:rsid w:val="0B28501B"/>
    <w:rsid w:val="0B2E0454"/>
    <w:rsid w:val="0B311E8B"/>
    <w:rsid w:val="0B316748"/>
    <w:rsid w:val="0B316874"/>
    <w:rsid w:val="0B3440C0"/>
    <w:rsid w:val="0B361B74"/>
    <w:rsid w:val="0B3B65E0"/>
    <w:rsid w:val="0B3C005F"/>
    <w:rsid w:val="0B3C21AB"/>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1F3C"/>
    <w:rsid w:val="0BDA3FDB"/>
    <w:rsid w:val="0BDA6EBB"/>
    <w:rsid w:val="0BDE6226"/>
    <w:rsid w:val="0BE879AE"/>
    <w:rsid w:val="0BEC24ED"/>
    <w:rsid w:val="0BED5C90"/>
    <w:rsid w:val="0BF3611F"/>
    <w:rsid w:val="0C055D2C"/>
    <w:rsid w:val="0C0D3535"/>
    <w:rsid w:val="0C1232A8"/>
    <w:rsid w:val="0C1B0491"/>
    <w:rsid w:val="0C1B4521"/>
    <w:rsid w:val="0C1E5D95"/>
    <w:rsid w:val="0C214DA4"/>
    <w:rsid w:val="0C2343CE"/>
    <w:rsid w:val="0C293F71"/>
    <w:rsid w:val="0C407935"/>
    <w:rsid w:val="0C426C85"/>
    <w:rsid w:val="0C432D86"/>
    <w:rsid w:val="0C4E63B2"/>
    <w:rsid w:val="0C4F69BD"/>
    <w:rsid w:val="0C512857"/>
    <w:rsid w:val="0C574E9F"/>
    <w:rsid w:val="0C5860FB"/>
    <w:rsid w:val="0C5937E9"/>
    <w:rsid w:val="0C594881"/>
    <w:rsid w:val="0C596C01"/>
    <w:rsid w:val="0C5E4639"/>
    <w:rsid w:val="0C6F7D6D"/>
    <w:rsid w:val="0C7A2965"/>
    <w:rsid w:val="0C884ACA"/>
    <w:rsid w:val="0C8935B7"/>
    <w:rsid w:val="0C894864"/>
    <w:rsid w:val="0C895198"/>
    <w:rsid w:val="0C8C661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8C7F56"/>
    <w:rsid w:val="0D902AA1"/>
    <w:rsid w:val="0D950038"/>
    <w:rsid w:val="0D9547D8"/>
    <w:rsid w:val="0DA21DB4"/>
    <w:rsid w:val="0DB14B01"/>
    <w:rsid w:val="0DB42335"/>
    <w:rsid w:val="0DC1403A"/>
    <w:rsid w:val="0DC75B70"/>
    <w:rsid w:val="0DC93981"/>
    <w:rsid w:val="0DCC0BD1"/>
    <w:rsid w:val="0DD32B50"/>
    <w:rsid w:val="0DD339D9"/>
    <w:rsid w:val="0DD75970"/>
    <w:rsid w:val="0DDB1764"/>
    <w:rsid w:val="0DDF4F05"/>
    <w:rsid w:val="0DE00F77"/>
    <w:rsid w:val="0DE2265C"/>
    <w:rsid w:val="0DE322D6"/>
    <w:rsid w:val="0DF37748"/>
    <w:rsid w:val="0E0B7F2C"/>
    <w:rsid w:val="0E165F90"/>
    <w:rsid w:val="0E170B4F"/>
    <w:rsid w:val="0E1F30B2"/>
    <w:rsid w:val="0E260532"/>
    <w:rsid w:val="0E260DE1"/>
    <w:rsid w:val="0E2A25DA"/>
    <w:rsid w:val="0E2C657F"/>
    <w:rsid w:val="0E2C6E3A"/>
    <w:rsid w:val="0E2E0706"/>
    <w:rsid w:val="0E373481"/>
    <w:rsid w:val="0E3A74C4"/>
    <w:rsid w:val="0E3D740A"/>
    <w:rsid w:val="0E401365"/>
    <w:rsid w:val="0E4977D8"/>
    <w:rsid w:val="0E531465"/>
    <w:rsid w:val="0E5355D1"/>
    <w:rsid w:val="0E594261"/>
    <w:rsid w:val="0E5B15B0"/>
    <w:rsid w:val="0E5C74E8"/>
    <w:rsid w:val="0E626314"/>
    <w:rsid w:val="0E681BEF"/>
    <w:rsid w:val="0E70754B"/>
    <w:rsid w:val="0E753626"/>
    <w:rsid w:val="0E771E58"/>
    <w:rsid w:val="0E796DFA"/>
    <w:rsid w:val="0E7A52BE"/>
    <w:rsid w:val="0E7B1820"/>
    <w:rsid w:val="0E7B61FB"/>
    <w:rsid w:val="0E7F1C04"/>
    <w:rsid w:val="0E7F2502"/>
    <w:rsid w:val="0E841CEC"/>
    <w:rsid w:val="0E8D5F4A"/>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D4F00"/>
    <w:rsid w:val="0F0E287E"/>
    <w:rsid w:val="0F122314"/>
    <w:rsid w:val="0F157038"/>
    <w:rsid w:val="0F191690"/>
    <w:rsid w:val="0F2566D6"/>
    <w:rsid w:val="0F334F38"/>
    <w:rsid w:val="0F374D10"/>
    <w:rsid w:val="0F390E3D"/>
    <w:rsid w:val="0F394B4B"/>
    <w:rsid w:val="0F3B729A"/>
    <w:rsid w:val="0F477871"/>
    <w:rsid w:val="0F477973"/>
    <w:rsid w:val="0F4B3454"/>
    <w:rsid w:val="0F521E2E"/>
    <w:rsid w:val="0F5313BA"/>
    <w:rsid w:val="0F5446B1"/>
    <w:rsid w:val="0F566F25"/>
    <w:rsid w:val="0F5801E9"/>
    <w:rsid w:val="0F5C4C71"/>
    <w:rsid w:val="0F5C5653"/>
    <w:rsid w:val="0F5E7046"/>
    <w:rsid w:val="0F675A2D"/>
    <w:rsid w:val="0F8116C6"/>
    <w:rsid w:val="0F927670"/>
    <w:rsid w:val="0F95703F"/>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972FC"/>
    <w:rsid w:val="0FEA2108"/>
    <w:rsid w:val="0FEC32E3"/>
    <w:rsid w:val="0FEE5F63"/>
    <w:rsid w:val="0FF14326"/>
    <w:rsid w:val="0FF53632"/>
    <w:rsid w:val="0FF61261"/>
    <w:rsid w:val="0FF7251B"/>
    <w:rsid w:val="0FF864B2"/>
    <w:rsid w:val="0FFE05DB"/>
    <w:rsid w:val="1002491E"/>
    <w:rsid w:val="100318D3"/>
    <w:rsid w:val="10074C2D"/>
    <w:rsid w:val="10080D3C"/>
    <w:rsid w:val="100C48AC"/>
    <w:rsid w:val="100D77C9"/>
    <w:rsid w:val="100F5ECF"/>
    <w:rsid w:val="10123E88"/>
    <w:rsid w:val="10171D38"/>
    <w:rsid w:val="10173B20"/>
    <w:rsid w:val="101B4B2B"/>
    <w:rsid w:val="101F001F"/>
    <w:rsid w:val="10205E6C"/>
    <w:rsid w:val="10214450"/>
    <w:rsid w:val="103F7BBC"/>
    <w:rsid w:val="1046747A"/>
    <w:rsid w:val="104B2F84"/>
    <w:rsid w:val="104F503B"/>
    <w:rsid w:val="106104D8"/>
    <w:rsid w:val="10614B4D"/>
    <w:rsid w:val="106807AB"/>
    <w:rsid w:val="10697106"/>
    <w:rsid w:val="106D07A5"/>
    <w:rsid w:val="1070251A"/>
    <w:rsid w:val="1079125F"/>
    <w:rsid w:val="10795FF0"/>
    <w:rsid w:val="107E7E13"/>
    <w:rsid w:val="108065DC"/>
    <w:rsid w:val="108D1F6F"/>
    <w:rsid w:val="108E556A"/>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54494"/>
    <w:rsid w:val="11262D96"/>
    <w:rsid w:val="11347954"/>
    <w:rsid w:val="113B4AF5"/>
    <w:rsid w:val="113D45ED"/>
    <w:rsid w:val="113F68A0"/>
    <w:rsid w:val="11463C69"/>
    <w:rsid w:val="114B2327"/>
    <w:rsid w:val="11537076"/>
    <w:rsid w:val="115452C7"/>
    <w:rsid w:val="115470DC"/>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468C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214B4"/>
    <w:rsid w:val="12B43E24"/>
    <w:rsid w:val="12C336A4"/>
    <w:rsid w:val="12C60939"/>
    <w:rsid w:val="12C70E6B"/>
    <w:rsid w:val="12DA12F7"/>
    <w:rsid w:val="12E0156B"/>
    <w:rsid w:val="12E53EB9"/>
    <w:rsid w:val="12F00E7B"/>
    <w:rsid w:val="12F85E8C"/>
    <w:rsid w:val="12F95EB4"/>
    <w:rsid w:val="12FA1A9D"/>
    <w:rsid w:val="13022B2F"/>
    <w:rsid w:val="13076BAF"/>
    <w:rsid w:val="130830A1"/>
    <w:rsid w:val="130A6AD2"/>
    <w:rsid w:val="130F03F0"/>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21EFE"/>
    <w:rsid w:val="13834E54"/>
    <w:rsid w:val="138C3BB4"/>
    <w:rsid w:val="138E21E8"/>
    <w:rsid w:val="13A46633"/>
    <w:rsid w:val="13A53E20"/>
    <w:rsid w:val="13A57CC6"/>
    <w:rsid w:val="13A64D44"/>
    <w:rsid w:val="13A71807"/>
    <w:rsid w:val="13AA36AA"/>
    <w:rsid w:val="13AA72DA"/>
    <w:rsid w:val="13AE4A5F"/>
    <w:rsid w:val="13B4098E"/>
    <w:rsid w:val="13B62320"/>
    <w:rsid w:val="13BA6369"/>
    <w:rsid w:val="13C63810"/>
    <w:rsid w:val="13C673D1"/>
    <w:rsid w:val="13D14F64"/>
    <w:rsid w:val="13E30309"/>
    <w:rsid w:val="13E42CC7"/>
    <w:rsid w:val="13E4364F"/>
    <w:rsid w:val="13E932C7"/>
    <w:rsid w:val="13ED4B00"/>
    <w:rsid w:val="13EF1BCA"/>
    <w:rsid w:val="13F253BC"/>
    <w:rsid w:val="13FF26E6"/>
    <w:rsid w:val="1400415D"/>
    <w:rsid w:val="14012738"/>
    <w:rsid w:val="14057081"/>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C5715"/>
    <w:rsid w:val="144D7A2D"/>
    <w:rsid w:val="145075DE"/>
    <w:rsid w:val="145822B7"/>
    <w:rsid w:val="14654D1B"/>
    <w:rsid w:val="14687805"/>
    <w:rsid w:val="146B1CFB"/>
    <w:rsid w:val="146D65F1"/>
    <w:rsid w:val="147C4CAE"/>
    <w:rsid w:val="14822913"/>
    <w:rsid w:val="149C2E77"/>
    <w:rsid w:val="14A31F03"/>
    <w:rsid w:val="14A5629F"/>
    <w:rsid w:val="14A74E22"/>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63AB9"/>
    <w:rsid w:val="151A1661"/>
    <w:rsid w:val="15262908"/>
    <w:rsid w:val="1529226A"/>
    <w:rsid w:val="15387A07"/>
    <w:rsid w:val="1539647F"/>
    <w:rsid w:val="153D0A90"/>
    <w:rsid w:val="153D638E"/>
    <w:rsid w:val="15457D24"/>
    <w:rsid w:val="154D3BE2"/>
    <w:rsid w:val="15500B81"/>
    <w:rsid w:val="15512718"/>
    <w:rsid w:val="155D4772"/>
    <w:rsid w:val="156103E7"/>
    <w:rsid w:val="15635D03"/>
    <w:rsid w:val="15640239"/>
    <w:rsid w:val="157723EB"/>
    <w:rsid w:val="157876E1"/>
    <w:rsid w:val="15792A24"/>
    <w:rsid w:val="1587641C"/>
    <w:rsid w:val="158A42AA"/>
    <w:rsid w:val="15903990"/>
    <w:rsid w:val="159A2718"/>
    <w:rsid w:val="159A616F"/>
    <w:rsid w:val="15A16B2A"/>
    <w:rsid w:val="15A36994"/>
    <w:rsid w:val="15A63099"/>
    <w:rsid w:val="15A83FDF"/>
    <w:rsid w:val="15A93467"/>
    <w:rsid w:val="15AC1F1E"/>
    <w:rsid w:val="15AE067E"/>
    <w:rsid w:val="15B274DC"/>
    <w:rsid w:val="15B51F07"/>
    <w:rsid w:val="15B64890"/>
    <w:rsid w:val="15B7100A"/>
    <w:rsid w:val="15BA1EF1"/>
    <w:rsid w:val="15BB7F8A"/>
    <w:rsid w:val="15BE7996"/>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9A4305"/>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37193"/>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41B5A"/>
    <w:rsid w:val="17276415"/>
    <w:rsid w:val="172F2D58"/>
    <w:rsid w:val="17351DB9"/>
    <w:rsid w:val="17393127"/>
    <w:rsid w:val="173D1032"/>
    <w:rsid w:val="17423214"/>
    <w:rsid w:val="174903F6"/>
    <w:rsid w:val="174E5530"/>
    <w:rsid w:val="17512C20"/>
    <w:rsid w:val="175A558F"/>
    <w:rsid w:val="17644012"/>
    <w:rsid w:val="17645BD7"/>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EA49F8"/>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26244"/>
    <w:rsid w:val="18540741"/>
    <w:rsid w:val="18587C4F"/>
    <w:rsid w:val="18593E4A"/>
    <w:rsid w:val="18597279"/>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8F91425"/>
    <w:rsid w:val="19022465"/>
    <w:rsid w:val="19087E5A"/>
    <w:rsid w:val="1909668C"/>
    <w:rsid w:val="190A5AAB"/>
    <w:rsid w:val="190B365E"/>
    <w:rsid w:val="190B5982"/>
    <w:rsid w:val="190E24A2"/>
    <w:rsid w:val="190F246E"/>
    <w:rsid w:val="1910107B"/>
    <w:rsid w:val="19117EDB"/>
    <w:rsid w:val="1919445B"/>
    <w:rsid w:val="19262916"/>
    <w:rsid w:val="1929257A"/>
    <w:rsid w:val="19296C8F"/>
    <w:rsid w:val="192B582F"/>
    <w:rsid w:val="192F7BEE"/>
    <w:rsid w:val="193C5189"/>
    <w:rsid w:val="193F3607"/>
    <w:rsid w:val="193F51BD"/>
    <w:rsid w:val="1944727F"/>
    <w:rsid w:val="1948038A"/>
    <w:rsid w:val="194A66F4"/>
    <w:rsid w:val="194C08BA"/>
    <w:rsid w:val="19507206"/>
    <w:rsid w:val="19546D47"/>
    <w:rsid w:val="19561E54"/>
    <w:rsid w:val="19594AC8"/>
    <w:rsid w:val="19642537"/>
    <w:rsid w:val="196B2DC5"/>
    <w:rsid w:val="19704940"/>
    <w:rsid w:val="19761FAF"/>
    <w:rsid w:val="19767155"/>
    <w:rsid w:val="19767890"/>
    <w:rsid w:val="197E00E2"/>
    <w:rsid w:val="197E4EC9"/>
    <w:rsid w:val="19801AD3"/>
    <w:rsid w:val="198438C8"/>
    <w:rsid w:val="19854BB3"/>
    <w:rsid w:val="198A317C"/>
    <w:rsid w:val="198A5B9B"/>
    <w:rsid w:val="198E504F"/>
    <w:rsid w:val="198E7CC2"/>
    <w:rsid w:val="19935571"/>
    <w:rsid w:val="199628D2"/>
    <w:rsid w:val="1997041E"/>
    <w:rsid w:val="19971F25"/>
    <w:rsid w:val="19977F1D"/>
    <w:rsid w:val="19A055FC"/>
    <w:rsid w:val="19A204F1"/>
    <w:rsid w:val="19A47FBE"/>
    <w:rsid w:val="19A9542D"/>
    <w:rsid w:val="19AF141B"/>
    <w:rsid w:val="19B45EC6"/>
    <w:rsid w:val="19BC434C"/>
    <w:rsid w:val="19C0635C"/>
    <w:rsid w:val="19C546C0"/>
    <w:rsid w:val="19C80E4C"/>
    <w:rsid w:val="19C87A4B"/>
    <w:rsid w:val="19CB0EFE"/>
    <w:rsid w:val="19D83EBC"/>
    <w:rsid w:val="19DC2EF0"/>
    <w:rsid w:val="19E01BE1"/>
    <w:rsid w:val="19E27436"/>
    <w:rsid w:val="19E52BC0"/>
    <w:rsid w:val="19E90F2D"/>
    <w:rsid w:val="19EA250B"/>
    <w:rsid w:val="19EB4C32"/>
    <w:rsid w:val="19F14343"/>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06F30"/>
    <w:rsid w:val="1A4351F7"/>
    <w:rsid w:val="1A4D3567"/>
    <w:rsid w:val="1A5078A1"/>
    <w:rsid w:val="1A552EA6"/>
    <w:rsid w:val="1A574E8B"/>
    <w:rsid w:val="1A5A027E"/>
    <w:rsid w:val="1A5B332D"/>
    <w:rsid w:val="1A5D418F"/>
    <w:rsid w:val="1A604FB0"/>
    <w:rsid w:val="1A667C29"/>
    <w:rsid w:val="1A68714A"/>
    <w:rsid w:val="1A74323E"/>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6E8A"/>
    <w:rsid w:val="1A991640"/>
    <w:rsid w:val="1AA14EDD"/>
    <w:rsid w:val="1AA20A13"/>
    <w:rsid w:val="1AA33EAF"/>
    <w:rsid w:val="1AA4489D"/>
    <w:rsid w:val="1AA964C5"/>
    <w:rsid w:val="1AAC5EBD"/>
    <w:rsid w:val="1AB8464E"/>
    <w:rsid w:val="1AB86D73"/>
    <w:rsid w:val="1ABE6357"/>
    <w:rsid w:val="1AC05FAA"/>
    <w:rsid w:val="1AC51203"/>
    <w:rsid w:val="1AC94503"/>
    <w:rsid w:val="1AC948BA"/>
    <w:rsid w:val="1ACF3E37"/>
    <w:rsid w:val="1AD24EB0"/>
    <w:rsid w:val="1AD506BF"/>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42D9E"/>
    <w:rsid w:val="1B3A63E1"/>
    <w:rsid w:val="1B3B1E3D"/>
    <w:rsid w:val="1B3B44BF"/>
    <w:rsid w:val="1B3F232C"/>
    <w:rsid w:val="1B435219"/>
    <w:rsid w:val="1B452832"/>
    <w:rsid w:val="1B55429F"/>
    <w:rsid w:val="1B5C4B10"/>
    <w:rsid w:val="1B676B44"/>
    <w:rsid w:val="1B6B6632"/>
    <w:rsid w:val="1B6F4CAB"/>
    <w:rsid w:val="1B7D6CAD"/>
    <w:rsid w:val="1B8038BA"/>
    <w:rsid w:val="1B806C82"/>
    <w:rsid w:val="1B8474D6"/>
    <w:rsid w:val="1B9009CE"/>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55D2A"/>
    <w:rsid w:val="1C086588"/>
    <w:rsid w:val="1C097162"/>
    <w:rsid w:val="1C0A656E"/>
    <w:rsid w:val="1C114C4D"/>
    <w:rsid w:val="1C16147F"/>
    <w:rsid w:val="1C176961"/>
    <w:rsid w:val="1C1C6556"/>
    <w:rsid w:val="1C23366C"/>
    <w:rsid w:val="1C245463"/>
    <w:rsid w:val="1C2D02F8"/>
    <w:rsid w:val="1C3019B6"/>
    <w:rsid w:val="1C327EC7"/>
    <w:rsid w:val="1C376C5A"/>
    <w:rsid w:val="1C393748"/>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D443A"/>
    <w:rsid w:val="1C6E29AB"/>
    <w:rsid w:val="1C6E5EB5"/>
    <w:rsid w:val="1C7026A5"/>
    <w:rsid w:val="1C787478"/>
    <w:rsid w:val="1C7A4B33"/>
    <w:rsid w:val="1C861BA5"/>
    <w:rsid w:val="1C87286B"/>
    <w:rsid w:val="1C887739"/>
    <w:rsid w:val="1C8C7365"/>
    <w:rsid w:val="1C8F650A"/>
    <w:rsid w:val="1C946042"/>
    <w:rsid w:val="1C9A58D3"/>
    <w:rsid w:val="1C9D7804"/>
    <w:rsid w:val="1CA86F01"/>
    <w:rsid w:val="1CAA0938"/>
    <w:rsid w:val="1CAB16B9"/>
    <w:rsid w:val="1CAC48C5"/>
    <w:rsid w:val="1CAF26D0"/>
    <w:rsid w:val="1CB15744"/>
    <w:rsid w:val="1CC448CE"/>
    <w:rsid w:val="1CCA602D"/>
    <w:rsid w:val="1CD02F84"/>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156B58"/>
    <w:rsid w:val="1D2B0F93"/>
    <w:rsid w:val="1D315EEC"/>
    <w:rsid w:val="1D316B5C"/>
    <w:rsid w:val="1D320508"/>
    <w:rsid w:val="1D3914F2"/>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A5B91"/>
    <w:rsid w:val="1E2133C2"/>
    <w:rsid w:val="1E252837"/>
    <w:rsid w:val="1E2629FA"/>
    <w:rsid w:val="1E291941"/>
    <w:rsid w:val="1E2B5964"/>
    <w:rsid w:val="1E2C1376"/>
    <w:rsid w:val="1E2E2CE1"/>
    <w:rsid w:val="1E2F2116"/>
    <w:rsid w:val="1E300851"/>
    <w:rsid w:val="1E301FEE"/>
    <w:rsid w:val="1E343DC7"/>
    <w:rsid w:val="1E3C5518"/>
    <w:rsid w:val="1E3C7075"/>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1782"/>
    <w:rsid w:val="1EB85929"/>
    <w:rsid w:val="1EB9671A"/>
    <w:rsid w:val="1EBA66FA"/>
    <w:rsid w:val="1EBC68DA"/>
    <w:rsid w:val="1EBF4CD5"/>
    <w:rsid w:val="1EC063B9"/>
    <w:rsid w:val="1ECE1B03"/>
    <w:rsid w:val="1ECE723E"/>
    <w:rsid w:val="1ED55822"/>
    <w:rsid w:val="1EE31B79"/>
    <w:rsid w:val="1EE54D64"/>
    <w:rsid w:val="1EE82B1F"/>
    <w:rsid w:val="1EE83BBB"/>
    <w:rsid w:val="1EEA0B27"/>
    <w:rsid w:val="1EEC1AE0"/>
    <w:rsid w:val="1EEC3E9A"/>
    <w:rsid w:val="1EEE5F5C"/>
    <w:rsid w:val="1EF15EF6"/>
    <w:rsid w:val="1EF47C22"/>
    <w:rsid w:val="1EFB41E9"/>
    <w:rsid w:val="1F0271AF"/>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5D4F6E"/>
    <w:rsid w:val="1F6037D1"/>
    <w:rsid w:val="1F61588F"/>
    <w:rsid w:val="1F637F5A"/>
    <w:rsid w:val="1F710118"/>
    <w:rsid w:val="1F764C52"/>
    <w:rsid w:val="1F792C3A"/>
    <w:rsid w:val="1F7C64ED"/>
    <w:rsid w:val="1F802382"/>
    <w:rsid w:val="1F8C04E7"/>
    <w:rsid w:val="1F9A7DD3"/>
    <w:rsid w:val="1FA35CF7"/>
    <w:rsid w:val="1FAA54F7"/>
    <w:rsid w:val="1FB04C74"/>
    <w:rsid w:val="1FB234B9"/>
    <w:rsid w:val="1FB966AC"/>
    <w:rsid w:val="1FC144C4"/>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77277"/>
    <w:rsid w:val="20594BEA"/>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87136"/>
    <w:rsid w:val="20BB4E88"/>
    <w:rsid w:val="20BB5F07"/>
    <w:rsid w:val="20BD7447"/>
    <w:rsid w:val="20C03C60"/>
    <w:rsid w:val="20C215F3"/>
    <w:rsid w:val="20C43B9F"/>
    <w:rsid w:val="20C71E83"/>
    <w:rsid w:val="20C976CD"/>
    <w:rsid w:val="20CA278B"/>
    <w:rsid w:val="20CF43B0"/>
    <w:rsid w:val="20D50E20"/>
    <w:rsid w:val="20D64996"/>
    <w:rsid w:val="20D717F1"/>
    <w:rsid w:val="20DB4340"/>
    <w:rsid w:val="20E30CFA"/>
    <w:rsid w:val="20EF51C8"/>
    <w:rsid w:val="20F05924"/>
    <w:rsid w:val="20F13F32"/>
    <w:rsid w:val="20F453F7"/>
    <w:rsid w:val="20F54434"/>
    <w:rsid w:val="20F627FE"/>
    <w:rsid w:val="20F81429"/>
    <w:rsid w:val="20FC1C52"/>
    <w:rsid w:val="20FD6D18"/>
    <w:rsid w:val="20FE48A8"/>
    <w:rsid w:val="20FE4BBD"/>
    <w:rsid w:val="2103608A"/>
    <w:rsid w:val="210E5EC2"/>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50C69"/>
    <w:rsid w:val="216C6B87"/>
    <w:rsid w:val="2175003E"/>
    <w:rsid w:val="217A71B3"/>
    <w:rsid w:val="217C1F99"/>
    <w:rsid w:val="21823F61"/>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354ED"/>
    <w:rsid w:val="21E5678C"/>
    <w:rsid w:val="21E8009D"/>
    <w:rsid w:val="21EC66F9"/>
    <w:rsid w:val="21F27385"/>
    <w:rsid w:val="21F477AF"/>
    <w:rsid w:val="21F80754"/>
    <w:rsid w:val="21FD1F93"/>
    <w:rsid w:val="22070B91"/>
    <w:rsid w:val="22122053"/>
    <w:rsid w:val="221500FE"/>
    <w:rsid w:val="22160E61"/>
    <w:rsid w:val="22170083"/>
    <w:rsid w:val="22191667"/>
    <w:rsid w:val="221E4044"/>
    <w:rsid w:val="2222364F"/>
    <w:rsid w:val="222E4B36"/>
    <w:rsid w:val="222F05E6"/>
    <w:rsid w:val="22317A3E"/>
    <w:rsid w:val="22330CD8"/>
    <w:rsid w:val="22335E59"/>
    <w:rsid w:val="22447536"/>
    <w:rsid w:val="224744C4"/>
    <w:rsid w:val="224B0DB4"/>
    <w:rsid w:val="22550A45"/>
    <w:rsid w:val="22583396"/>
    <w:rsid w:val="225A3E70"/>
    <w:rsid w:val="225B121F"/>
    <w:rsid w:val="22663911"/>
    <w:rsid w:val="22677532"/>
    <w:rsid w:val="226D0C21"/>
    <w:rsid w:val="226F2BB2"/>
    <w:rsid w:val="22721973"/>
    <w:rsid w:val="22721E20"/>
    <w:rsid w:val="22882272"/>
    <w:rsid w:val="229C146B"/>
    <w:rsid w:val="229F5B62"/>
    <w:rsid w:val="22A94C36"/>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140A7"/>
    <w:rsid w:val="23136A91"/>
    <w:rsid w:val="2314181E"/>
    <w:rsid w:val="2317727F"/>
    <w:rsid w:val="232020A5"/>
    <w:rsid w:val="23247DA8"/>
    <w:rsid w:val="23263DF4"/>
    <w:rsid w:val="232A727C"/>
    <w:rsid w:val="232C5B93"/>
    <w:rsid w:val="232D6324"/>
    <w:rsid w:val="23301166"/>
    <w:rsid w:val="233072E9"/>
    <w:rsid w:val="23357DCC"/>
    <w:rsid w:val="233D00E7"/>
    <w:rsid w:val="23434E07"/>
    <w:rsid w:val="23492436"/>
    <w:rsid w:val="23550E3B"/>
    <w:rsid w:val="2358023D"/>
    <w:rsid w:val="235F2C5A"/>
    <w:rsid w:val="235F75E7"/>
    <w:rsid w:val="23607971"/>
    <w:rsid w:val="23727A3F"/>
    <w:rsid w:val="237A38E4"/>
    <w:rsid w:val="237A6D5C"/>
    <w:rsid w:val="237F1315"/>
    <w:rsid w:val="237F27A7"/>
    <w:rsid w:val="2381755C"/>
    <w:rsid w:val="23862749"/>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3F909A6"/>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149C6"/>
    <w:rsid w:val="24932C94"/>
    <w:rsid w:val="24965CCD"/>
    <w:rsid w:val="249800C5"/>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4E3FF5"/>
    <w:rsid w:val="25512471"/>
    <w:rsid w:val="255513D2"/>
    <w:rsid w:val="255A50C8"/>
    <w:rsid w:val="255B49B3"/>
    <w:rsid w:val="255C1932"/>
    <w:rsid w:val="255E294F"/>
    <w:rsid w:val="25692DFE"/>
    <w:rsid w:val="256C3D8F"/>
    <w:rsid w:val="256D6BF2"/>
    <w:rsid w:val="257212E4"/>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A613E"/>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A2490"/>
    <w:rsid w:val="268D7063"/>
    <w:rsid w:val="2690371C"/>
    <w:rsid w:val="26916DB8"/>
    <w:rsid w:val="269837EF"/>
    <w:rsid w:val="269E794D"/>
    <w:rsid w:val="26A84125"/>
    <w:rsid w:val="26AF7EB1"/>
    <w:rsid w:val="26B11AEC"/>
    <w:rsid w:val="26B7502F"/>
    <w:rsid w:val="26B82CF0"/>
    <w:rsid w:val="26B8558F"/>
    <w:rsid w:val="26C03942"/>
    <w:rsid w:val="26CF27C0"/>
    <w:rsid w:val="26CF56E4"/>
    <w:rsid w:val="26D07CC0"/>
    <w:rsid w:val="26D27F3B"/>
    <w:rsid w:val="26E535DE"/>
    <w:rsid w:val="26F0116E"/>
    <w:rsid w:val="26F62BE0"/>
    <w:rsid w:val="27007DB1"/>
    <w:rsid w:val="27023FD8"/>
    <w:rsid w:val="270268FC"/>
    <w:rsid w:val="270A4A11"/>
    <w:rsid w:val="27115F5E"/>
    <w:rsid w:val="27131A32"/>
    <w:rsid w:val="271438F4"/>
    <w:rsid w:val="271441C6"/>
    <w:rsid w:val="27181BBE"/>
    <w:rsid w:val="272201E2"/>
    <w:rsid w:val="27222347"/>
    <w:rsid w:val="27261FD2"/>
    <w:rsid w:val="272E2378"/>
    <w:rsid w:val="27321F5C"/>
    <w:rsid w:val="273C76EB"/>
    <w:rsid w:val="273E15AB"/>
    <w:rsid w:val="274159F7"/>
    <w:rsid w:val="27492EA8"/>
    <w:rsid w:val="274B09CE"/>
    <w:rsid w:val="27523FF3"/>
    <w:rsid w:val="275269EE"/>
    <w:rsid w:val="2755572E"/>
    <w:rsid w:val="276010D4"/>
    <w:rsid w:val="27614F78"/>
    <w:rsid w:val="27653B8D"/>
    <w:rsid w:val="27694F62"/>
    <w:rsid w:val="276B0663"/>
    <w:rsid w:val="276B607D"/>
    <w:rsid w:val="276C47FF"/>
    <w:rsid w:val="2773738D"/>
    <w:rsid w:val="277973C8"/>
    <w:rsid w:val="27880564"/>
    <w:rsid w:val="278C4BFF"/>
    <w:rsid w:val="278E5245"/>
    <w:rsid w:val="279025EE"/>
    <w:rsid w:val="27924A6D"/>
    <w:rsid w:val="27992850"/>
    <w:rsid w:val="27A44BB8"/>
    <w:rsid w:val="27A5378B"/>
    <w:rsid w:val="27AA4362"/>
    <w:rsid w:val="27AF12EF"/>
    <w:rsid w:val="27AF29BE"/>
    <w:rsid w:val="27B47525"/>
    <w:rsid w:val="27BF67BA"/>
    <w:rsid w:val="27C04AAA"/>
    <w:rsid w:val="27C07D92"/>
    <w:rsid w:val="27C334FA"/>
    <w:rsid w:val="27C60A21"/>
    <w:rsid w:val="27D021D8"/>
    <w:rsid w:val="27D54E77"/>
    <w:rsid w:val="27D65DE5"/>
    <w:rsid w:val="27D7429E"/>
    <w:rsid w:val="27DC7DE0"/>
    <w:rsid w:val="27DE1BFF"/>
    <w:rsid w:val="27E12983"/>
    <w:rsid w:val="27E44357"/>
    <w:rsid w:val="27E86387"/>
    <w:rsid w:val="27EA32D3"/>
    <w:rsid w:val="27EB75EF"/>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3C224C"/>
    <w:rsid w:val="28410CFF"/>
    <w:rsid w:val="284A66D7"/>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019F"/>
    <w:rsid w:val="289F51C6"/>
    <w:rsid w:val="28A66A75"/>
    <w:rsid w:val="28A7347C"/>
    <w:rsid w:val="28A9531B"/>
    <w:rsid w:val="28A95880"/>
    <w:rsid w:val="28BC55B3"/>
    <w:rsid w:val="28BF59E6"/>
    <w:rsid w:val="28C14F11"/>
    <w:rsid w:val="28CE5AB8"/>
    <w:rsid w:val="28CF0263"/>
    <w:rsid w:val="28D773A2"/>
    <w:rsid w:val="28E069B4"/>
    <w:rsid w:val="28E17E2C"/>
    <w:rsid w:val="28E44161"/>
    <w:rsid w:val="28E474F2"/>
    <w:rsid w:val="28F15C5D"/>
    <w:rsid w:val="28FA1728"/>
    <w:rsid w:val="28FB61AA"/>
    <w:rsid w:val="28FD0175"/>
    <w:rsid w:val="290301B6"/>
    <w:rsid w:val="29046B1A"/>
    <w:rsid w:val="29070F98"/>
    <w:rsid w:val="290E7E3D"/>
    <w:rsid w:val="290F5FD5"/>
    <w:rsid w:val="2911001D"/>
    <w:rsid w:val="291671BE"/>
    <w:rsid w:val="291E162B"/>
    <w:rsid w:val="291F06CA"/>
    <w:rsid w:val="29257E18"/>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2012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CF3CF1"/>
    <w:rsid w:val="29D330CD"/>
    <w:rsid w:val="29D905A6"/>
    <w:rsid w:val="29E705C4"/>
    <w:rsid w:val="29EB5B61"/>
    <w:rsid w:val="29EF69C0"/>
    <w:rsid w:val="29F143B2"/>
    <w:rsid w:val="29F15ECD"/>
    <w:rsid w:val="29F50529"/>
    <w:rsid w:val="29F6357B"/>
    <w:rsid w:val="29F64D54"/>
    <w:rsid w:val="2A0011E1"/>
    <w:rsid w:val="2A027DC4"/>
    <w:rsid w:val="2A0A08C1"/>
    <w:rsid w:val="2A0A3233"/>
    <w:rsid w:val="2A0C03D1"/>
    <w:rsid w:val="2A0D3CE8"/>
    <w:rsid w:val="2A127934"/>
    <w:rsid w:val="2A173EF4"/>
    <w:rsid w:val="2A22388A"/>
    <w:rsid w:val="2A241EE5"/>
    <w:rsid w:val="2A277252"/>
    <w:rsid w:val="2A3B2565"/>
    <w:rsid w:val="2A3B3E69"/>
    <w:rsid w:val="2A3F15E1"/>
    <w:rsid w:val="2A451545"/>
    <w:rsid w:val="2A467378"/>
    <w:rsid w:val="2A4B11DF"/>
    <w:rsid w:val="2A4F54C7"/>
    <w:rsid w:val="2A664217"/>
    <w:rsid w:val="2A6E2A78"/>
    <w:rsid w:val="2A785F0C"/>
    <w:rsid w:val="2A792BFF"/>
    <w:rsid w:val="2A8050E9"/>
    <w:rsid w:val="2A805538"/>
    <w:rsid w:val="2A917182"/>
    <w:rsid w:val="2A920759"/>
    <w:rsid w:val="2A974BCB"/>
    <w:rsid w:val="2A992F8D"/>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A66D7"/>
    <w:rsid w:val="2BED6E21"/>
    <w:rsid w:val="2BEE73AA"/>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B5966"/>
    <w:rsid w:val="2C7E7AD5"/>
    <w:rsid w:val="2C8928F0"/>
    <w:rsid w:val="2C8C31C6"/>
    <w:rsid w:val="2C923F36"/>
    <w:rsid w:val="2C93579A"/>
    <w:rsid w:val="2C961AF8"/>
    <w:rsid w:val="2C9756BF"/>
    <w:rsid w:val="2CA14EDD"/>
    <w:rsid w:val="2CA867F5"/>
    <w:rsid w:val="2CA92BBD"/>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30344"/>
    <w:rsid w:val="2CFF086A"/>
    <w:rsid w:val="2D064B26"/>
    <w:rsid w:val="2D086932"/>
    <w:rsid w:val="2D104632"/>
    <w:rsid w:val="2D3072FE"/>
    <w:rsid w:val="2D31028B"/>
    <w:rsid w:val="2D356F9E"/>
    <w:rsid w:val="2D4151E1"/>
    <w:rsid w:val="2D416432"/>
    <w:rsid w:val="2D420181"/>
    <w:rsid w:val="2D4537ED"/>
    <w:rsid w:val="2D487A88"/>
    <w:rsid w:val="2D51110B"/>
    <w:rsid w:val="2D51656F"/>
    <w:rsid w:val="2D591BF5"/>
    <w:rsid w:val="2D5F3B18"/>
    <w:rsid w:val="2D61022F"/>
    <w:rsid w:val="2D633FFF"/>
    <w:rsid w:val="2D6C388D"/>
    <w:rsid w:val="2D716D64"/>
    <w:rsid w:val="2D74403E"/>
    <w:rsid w:val="2D786928"/>
    <w:rsid w:val="2D797FB2"/>
    <w:rsid w:val="2D7E3395"/>
    <w:rsid w:val="2D8B2F25"/>
    <w:rsid w:val="2D8D3440"/>
    <w:rsid w:val="2D946AA5"/>
    <w:rsid w:val="2D974D23"/>
    <w:rsid w:val="2D9B3D20"/>
    <w:rsid w:val="2D9D0E1B"/>
    <w:rsid w:val="2DA25C72"/>
    <w:rsid w:val="2DA3399B"/>
    <w:rsid w:val="2DA411FC"/>
    <w:rsid w:val="2DA62658"/>
    <w:rsid w:val="2DAD0982"/>
    <w:rsid w:val="2DAF5D1C"/>
    <w:rsid w:val="2DB10A22"/>
    <w:rsid w:val="2DB20C2E"/>
    <w:rsid w:val="2DB46B3D"/>
    <w:rsid w:val="2DB52669"/>
    <w:rsid w:val="2DBE0579"/>
    <w:rsid w:val="2DBE7D96"/>
    <w:rsid w:val="2DC35F5D"/>
    <w:rsid w:val="2DC37A36"/>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23AD6"/>
    <w:rsid w:val="2E353422"/>
    <w:rsid w:val="2E380991"/>
    <w:rsid w:val="2E3C6173"/>
    <w:rsid w:val="2E4241BC"/>
    <w:rsid w:val="2E4E4DBD"/>
    <w:rsid w:val="2E5024D8"/>
    <w:rsid w:val="2E522352"/>
    <w:rsid w:val="2E55304D"/>
    <w:rsid w:val="2E5F3B5E"/>
    <w:rsid w:val="2E602D70"/>
    <w:rsid w:val="2E643BF9"/>
    <w:rsid w:val="2E680509"/>
    <w:rsid w:val="2E89270D"/>
    <w:rsid w:val="2E8A2011"/>
    <w:rsid w:val="2E8A68CC"/>
    <w:rsid w:val="2E930996"/>
    <w:rsid w:val="2EA469A3"/>
    <w:rsid w:val="2EAE08A6"/>
    <w:rsid w:val="2EBD6A69"/>
    <w:rsid w:val="2EBF6A8F"/>
    <w:rsid w:val="2EC53E66"/>
    <w:rsid w:val="2ECA785E"/>
    <w:rsid w:val="2ECE63AB"/>
    <w:rsid w:val="2ECF267B"/>
    <w:rsid w:val="2ED05311"/>
    <w:rsid w:val="2ED26976"/>
    <w:rsid w:val="2EE21F9D"/>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3E3C94"/>
    <w:rsid w:val="2F402D6C"/>
    <w:rsid w:val="2F423C6B"/>
    <w:rsid w:val="2F4457D7"/>
    <w:rsid w:val="2F456FE2"/>
    <w:rsid w:val="2F4575D0"/>
    <w:rsid w:val="2F463C9F"/>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86D45"/>
    <w:rsid w:val="2FDF68B6"/>
    <w:rsid w:val="2FE424EB"/>
    <w:rsid w:val="2FE465CC"/>
    <w:rsid w:val="2FED56B0"/>
    <w:rsid w:val="2FF657DC"/>
    <w:rsid w:val="2FF65911"/>
    <w:rsid w:val="2FFA4EB6"/>
    <w:rsid w:val="300E5103"/>
    <w:rsid w:val="30132A83"/>
    <w:rsid w:val="30243ECE"/>
    <w:rsid w:val="302E2308"/>
    <w:rsid w:val="30341F02"/>
    <w:rsid w:val="303A40DD"/>
    <w:rsid w:val="304173D0"/>
    <w:rsid w:val="30442620"/>
    <w:rsid w:val="304704BF"/>
    <w:rsid w:val="304B6BB7"/>
    <w:rsid w:val="304C4503"/>
    <w:rsid w:val="30526AC1"/>
    <w:rsid w:val="30530FD9"/>
    <w:rsid w:val="3054190C"/>
    <w:rsid w:val="305568C5"/>
    <w:rsid w:val="305D124C"/>
    <w:rsid w:val="305D3CBC"/>
    <w:rsid w:val="305F6237"/>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61214"/>
    <w:rsid w:val="30D914CE"/>
    <w:rsid w:val="30DD5BC9"/>
    <w:rsid w:val="30E31EEB"/>
    <w:rsid w:val="30E64CA0"/>
    <w:rsid w:val="30ED7025"/>
    <w:rsid w:val="30EE6C60"/>
    <w:rsid w:val="30F653E9"/>
    <w:rsid w:val="31081AAA"/>
    <w:rsid w:val="310C4D9C"/>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41D1E"/>
    <w:rsid w:val="31750FCD"/>
    <w:rsid w:val="3179366A"/>
    <w:rsid w:val="317A104A"/>
    <w:rsid w:val="317B7A41"/>
    <w:rsid w:val="317F3FBE"/>
    <w:rsid w:val="31825FC2"/>
    <w:rsid w:val="31854832"/>
    <w:rsid w:val="31884274"/>
    <w:rsid w:val="318949FD"/>
    <w:rsid w:val="31896D6B"/>
    <w:rsid w:val="318B0F4D"/>
    <w:rsid w:val="318E5084"/>
    <w:rsid w:val="318E6312"/>
    <w:rsid w:val="31913100"/>
    <w:rsid w:val="319B2E7D"/>
    <w:rsid w:val="31A40D7A"/>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44F27"/>
    <w:rsid w:val="320B5911"/>
    <w:rsid w:val="3217684D"/>
    <w:rsid w:val="3219669D"/>
    <w:rsid w:val="321C63D7"/>
    <w:rsid w:val="321F3F88"/>
    <w:rsid w:val="3221279F"/>
    <w:rsid w:val="32247BF9"/>
    <w:rsid w:val="32255778"/>
    <w:rsid w:val="32312593"/>
    <w:rsid w:val="323159FD"/>
    <w:rsid w:val="32345AB7"/>
    <w:rsid w:val="323716E7"/>
    <w:rsid w:val="323A4444"/>
    <w:rsid w:val="323E67E3"/>
    <w:rsid w:val="324252A3"/>
    <w:rsid w:val="32484AB1"/>
    <w:rsid w:val="324A0310"/>
    <w:rsid w:val="324F7E77"/>
    <w:rsid w:val="32524AFD"/>
    <w:rsid w:val="32530870"/>
    <w:rsid w:val="325900F4"/>
    <w:rsid w:val="325A0237"/>
    <w:rsid w:val="325A2A41"/>
    <w:rsid w:val="325C155E"/>
    <w:rsid w:val="325E2BBD"/>
    <w:rsid w:val="325F6322"/>
    <w:rsid w:val="32603716"/>
    <w:rsid w:val="32667CE0"/>
    <w:rsid w:val="326B5802"/>
    <w:rsid w:val="326C6CF3"/>
    <w:rsid w:val="32732916"/>
    <w:rsid w:val="3279408A"/>
    <w:rsid w:val="327C3D6F"/>
    <w:rsid w:val="327E4D99"/>
    <w:rsid w:val="328D3719"/>
    <w:rsid w:val="328F4974"/>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843738"/>
    <w:rsid w:val="33975AE0"/>
    <w:rsid w:val="339A4201"/>
    <w:rsid w:val="33AA3EDC"/>
    <w:rsid w:val="33B3256A"/>
    <w:rsid w:val="33B94573"/>
    <w:rsid w:val="33BC1F56"/>
    <w:rsid w:val="33C40058"/>
    <w:rsid w:val="33C748AE"/>
    <w:rsid w:val="33C75909"/>
    <w:rsid w:val="33CE2B98"/>
    <w:rsid w:val="33D62E30"/>
    <w:rsid w:val="33DA7799"/>
    <w:rsid w:val="33DB47C4"/>
    <w:rsid w:val="33DE5FA1"/>
    <w:rsid w:val="33DF593B"/>
    <w:rsid w:val="33E64517"/>
    <w:rsid w:val="33E70260"/>
    <w:rsid w:val="33EB5F44"/>
    <w:rsid w:val="33EF0378"/>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0A7D"/>
    <w:rsid w:val="3430138D"/>
    <w:rsid w:val="34333BE0"/>
    <w:rsid w:val="34347AC3"/>
    <w:rsid w:val="343A0C0F"/>
    <w:rsid w:val="343F6B81"/>
    <w:rsid w:val="344A01A6"/>
    <w:rsid w:val="344E7394"/>
    <w:rsid w:val="345755A8"/>
    <w:rsid w:val="345A0537"/>
    <w:rsid w:val="345B4E2C"/>
    <w:rsid w:val="345D758F"/>
    <w:rsid w:val="34607FB2"/>
    <w:rsid w:val="34615829"/>
    <w:rsid w:val="3462226C"/>
    <w:rsid w:val="346A1BB2"/>
    <w:rsid w:val="346E738B"/>
    <w:rsid w:val="3473445A"/>
    <w:rsid w:val="34782AC5"/>
    <w:rsid w:val="34785CD4"/>
    <w:rsid w:val="347875C9"/>
    <w:rsid w:val="347B0E37"/>
    <w:rsid w:val="347D1349"/>
    <w:rsid w:val="347F046C"/>
    <w:rsid w:val="34834A93"/>
    <w:rsid w:val="34874A0D"/>
    <w:rsid w:val="348A7E6B"/>
    <w:rsid w:val="349C27BA"/>
    <w:rsid w:val="34A14FAB"/>
    <w:rsid w:val="34A46ADA"/>
    <w:rsid w:val="34A5576D"/>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04FB8"/>
    <w:rsid w:val="35017F79"/>
    <w:rsid w:val="35041BFF"/>
    <w:rsid w:val="351E7FCA"/>
    <w:rsid w:val="351F04F0"/>
    <w:rsid w:val="351F2311"/>
    <w:rsid w:val="351F7E03"/>
    <w:rsid w:val="35206711"/>
    <w:rsid w:val="352367C5"/>
    <w:rsid w:val="352612FC"/>
    <w:rsid w:val="352D1F24"/>
    <w:rsid w:val="352D7415"/>
    <w:rsid w:val="3531792A"/>
    <w:rsid w:val="3539398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9D552A"/>
    <w:rsid w:val="35A444A3"/>
    <w:rsid w:val="35AD47D7"/>
    <w:rsid w:val="35B2395E"/>
    <w:rsid w:val="35B500E7"/>
    <w:rsid w:val="35B77945"/>
    <w:rsid w:val="35BA5897"/>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172B5"/>
    <w:rsid w:val="360219E2"/>
    <w:rsid w:val="36044720"/>
    <w:rsid w:val="360A1CD4"/>
    <w:rsid w:val="360C4731"/>
    <w:rsid w:val="361203A7"/>
    <w:rsid w:val="3614405A"/>
    <w:rsid w:val="3615173C"/>
    <w:rsid w:val="3619343A"/>
    <w:rsid w:val="361C631E"/>
    <w:rsid w:val="361E5F79"/>
    <w:rsid w:val="361F0B5A"/>
    <w:rsid w:val="36255FE7"/>
    <w:rsid w:val="362F44EC"/>
    <w:rsid w:val="363139D2"/>
    <w:rsid w:val="36380784"/>
    <w:rsid w:val="363A6D22"/>
    <w:rsid w:val="36453E73"/>
    <w:rsid w:val="365C692E"/>
    <w:rsid w:val="3664672E"/>
    <w:rsid w:val="36684B85"/>
    <w:rsid w:val="36694323"/>
    <w:rsid w:val="367A12DB"/>
    <w:rsid w:val="36847D86"/>
    <w:rsid w:val="36871919"/>
    <w:rsid w:val="368D0336"/>
    <w:rsid w:val="369202E4"/>
    <w:rsid w:val="36993AD8"/>
    <w:rsid w:val="369C1413"/>
    <w:rsid w:val="369E16D7"/>
    <w:rsid w:val="36A03498"/>
    <w:rsid w:val="36B969ED"/>
    <w:rsid w:val="36BE11DF"/>
    <w:rsid w:val="36BF09FB"/>
    <w:rsid w:val="36C276D2"/>
    <w:rsid w:val="36C35683"/>
    <w:rsid w:val="36D53B5B"/>
    <w:rsid w:val="36D849D2"/>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076E5"/>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C7974"/>
    <w:rsid w:val="377F29FA"/>
    <w:rsid w:val="378A2E48"/>
    <w:rsid w:val="378D4721"/>
    <w:rsid w:val="37916CEE"/>
    <w:rsid w:val="3793144B"/>
    <w:rsid w:val="37981B12"/>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93E1B"/>
    <w:rsid w:val="37DA01D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C1759"/>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EB6B3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92BCF"/>
    <w:rsid w:val="395A6D19"/>
    <w:rsid w:val="395D0E21"/>
    <w:rsid w:val="39623B52"/>
    <w:rsid w:val="397061BB"/>
    <w:rsid w:val="3972555C"/>
    <w:rsid w:val="397319FF"/>
    <w:rsid w:val="39731B12"/>
    <w:rsid w:val="39765E70"/>
    <w:rsid w:val="39774BBD"/>
    <w:rsid w:val="39847EB1"/>
    <w:rsid w:val="398704BB"/>
    <w:rsid w:val="39882427"/>
    <w:rsid w:val="39926717"/>
    <w:rsid w:val="39970953"/>
    <w:rsid w:val="399E1C0B"/>
    <w:rsid w:val="39A21811"/>
    <w:rsid w:val="39A4022E"/>
    <w:rsid w:val="39AC2500"/>
    <w:rsid w:val="39AD28D5"/>
    <w:rsid w:val="39B261DB"/>
    <w:rsid w:val="39B73027"/>
    <w:rsid w:val="39B857F7"/>
    <w:rsid w:val="39B90E5E"/>
    <w:rsid w:val="39BB3A94"/>
    <w:rsid w:val="39C1671E"/>
    <w:rsid w:val="39C7184A"/>
    <w:rsid w:val="39CB526D"/>
    <w:rsid w:val="39D546A7"/>
    <w:rsid w:val="39DA48F6"/>
    <w:rsid w:val="39DA79CB"/>
    <w:rsid w:val="39DB38B4"/>
    <w:rsid w:val="39E069D4"/>
    <w:rsid w:val="39E258C7"/>
    <w:rsid w:val="39F070CC"/>
    <w:rsid w:val="39F12591"/>
    <w:rsid w:val="39FA1CF1"/>
    <w:rsid w:val="3A001D3B"/>
    <w:rsid w:val="3A016BF0"/>
    <w:rsid w:val="3A0A4EEB"/>
    <w:rsid w:val="3A0C1916"/>
    <w:rsid w:val="3A191E0E"/>
    <w:rsid w:val="3A1C597D"/>
    <w:rsid w:val="3A1C71BF"/>
    <w:rsid w:val="3A2C3BA6"/>
    <w:rsid w:val="3A2E3AF5"/>
    <w:rsid w:val="3A3539DC"/>
    <w:rsid w:val="3A3D4D53"/>
    <w:rsid w:val="3A4C45A1"/>
    <w:rsid w:val="3A4F0430"/>
    <w:rsid w:val="3A544F6C"/>
    <w:rsid w:val="3A577ADC"/>
    <w:rsid w:val="3A5914F9"/>
    <w:rsid w:val="3A5F3F5A"/>
    <w:rsid w:val="3A6D66ED"/>
    <w:rsid w:val="3A7116FC"/>
    <w:rsid w:val="3A736A4A"/>
    <w:rsid w:val="3A76541F"/>
    <w:rsid w:val="3A7D75EF"/>
    <w:rsid w:val="3A881F93"/>
    <w:rsid w:val="3A8B176E"/>
    <w:rsid w:val="3A8D11CC"/>
    <w:rsid w:val="3A8D2D28"/>
    <w:rsid w:val="3A9A07D3"/>
    <w:rsid w:val="3A9C50AA"/>
    <w:rsid w:val="3AA312D0"/>
    <w:rsid w:val="3AAF36AE"/>
    <w:rsid w:val="3AB06715"/>
    <w:rsid w:val="3AB847B4"/>
    <w:rsid w:val="3ABD355C"/>
    <w:rsid w:val="3AC243D8"/>
    <w:rsid w:val="3AC351F1"/>
    <w:rsid w:val="3AC91008"/>
    <w:rsid w:val="3ACB36E9"/>
    <w:rsid w:val="3ACB7871"/>
    <w:rsid w:val="3ACE6056"/>
    <w:rsid w:val="3AD028B4"/>
    <w:rsid w:val="3AD34546"/>
    <w:rsid w:val="3AD847A7"/>
    <w:rsid w:val="3ADA3867"/>
    <w:rsid w:val="3AE15E3F"/>
    <w:rsid w:val="3AEC72C2"/>
    <w:rsid w:val="3AEF76B1"/>
    <w:rsid w:val="3AF15090"/>
    <w:rsid w:val="3AF27012"/>
    <w:rsid w:val="3AFB55B9"/>
    <w:rsid w:val="3B0114CC"/>
    <w:rsid w:val="3B0476DE"/>
    <w:rsid w:val="3B050C15"/>
    <w:rsid w:val="3B0E3AD2"/>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643A5"/>
    <w:rsid w:val="3B59157A"/>
    <w:rsid w:val="3B5A461E"/>
    <w:rsid w:val="3B5D028A"/>
    <w:rsid w:val="3B6D0581"/>
    <w:rsid w:val="3B6E1A34"/>
    <w:rsid w:val="3B7730F3"/>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218D8"/>
    <w:rsid w:val="3C4A36CF"/>
    <w:rsid w:val="3C4D7FC6"/>
    <w:rsid w:val="3C55687F"/>
    <w:rsid w:val="3C5A0649"/>
    <w:rsid w:val="3C6A6E3E"/>
    <w:rsid w:val="3C6B4CE4"/>
    <w:rsid w:val="3C6C1257"/>
    <w:rsid w:val="3C6D4F86"/>
    <w:rsid w:val="3C6E4611"/>
    <w:rsid w:val="3C6F5C49"/>
    <w:rsid w:val="3C70236E"/>
    <w:rsid w:val="3C735075"/>
    <w:rsid w:val="3C77244A"/>
    <w:rsid w:val="3C783F6C"/>
    <w:rsid w:val="3C7A543E"/>
    <w:rsid w:val="3C7C68CA"/>
    <w:rsid w:val="3C820803"/>
    <w:rsid w:val="3C843FF9"/>
    <w:rsid w:val="3C851287"/>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35325"/>
    <w:rsid w:val="3CE47BC5"/>
    <w:rsid w:val="3CF012B5"/>
    <w:rsid w:val="3CF10224"/>
    <w:rsid w:val="3CF80D73"/>
    <w:rsid w:val="3D03717F"/>
    <w:rsid w:val="3D05649D"/>
    <w:rsid w:val="3D0E2650"/>
    <w:rsid w:val="3D0E7B96"/>
    <w:rsid w:val="3D2558DA"/>
    <w:rsid w:val="3D2E57FB"/>
    <w:rsid w:val="3D311766"/>
    <w:rsid w:val="3D31514E"/>
    <w:rsid w:val="3D3201E6"/>
    <w:rsid w:val="3D344D4E"/>
    <w:rsid w:val="3D433BE3"/>
    <w:rsid w:val="3D4410E3"/>
    <w:rsid w:val="3D4F1820"/>
    <w:rsid w:val="3D505E2B"/>
    <w:rsid w:val="3D54620E"/>
    <w:rsid w:val="3D5D13B1"/>
    <w:rsid w:val="3D6C2810"/>
    <w:rsid w:val="3D6E7928"/>
    <w:rsid w:val="3D72630D"/>
    <w:rsid w:val="3D744E32"/>
    <w:rsid w:val="3D7845E4"/>
    <w:rsid w:val="3D7A0B27"/>
    <w:rsid w:val="3D7D024E"/>
    <w:rsid w:val="3D806AC3"/>
    <w:rsid w:val="3D8438BD"/>
    <w:rsid w:val="3D8B02DF"/>
    <w:rsid w:val="3D8E2A07"/>
    <w:rsid w:val="3D9E5E72"/>
    <w:rsid w:val="3DA009B3"/>
    <w:rsid w:val="3DA009CC"/>
    <w:rsid w:val="3DA13551"/>
    <w:rsid w:val="3DA3195E"/>
    <w:rsid w:val="3DA54FB2"/>
    <w:rsid w:val="3DA5644E"/>
    <w:rsid w:val="3DAE375E"/>
    <w:rsid w:val="3DAE5F07"/>
    <w:rsid w:val="3DB6531E"/>
    <w:rsid w:val="3DB72CDE"/>
    <w:rsid w:val="3DB9249A"/>
    <w:rsid w:val="3DBC3CE2"/>
    <w:rsid w:val="3DBC5E31"/>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A6459"/>
    <w:rsid w:val="3DFC1272"/>
    <w:rsid w:val="3E0328BF"/>
    <w:rsid w:val="3E0F1CFB"/>
    <w:rsid w:val="3E111D45"/>
    <w:rsid w:val="3E1565B5"/>
    <w:rsid w:val="3E1B0CF6"/>
    <w:rsid w:val="3E1B763A"/>
    <w:rsid w:val="3E1D490C"/>
    <w:rsid w:val="3E1F67AC"/>
    <w:rsid w:val="3E294142"/>
    <w:rsid w:val="3E304585"/>
    <w:rsid w:val="3E343E9B"/>
    <w:rsid w:val="3E374163"/>
    <w:rsid w:val="3E3D4614"/>
    <w:rsid w:val="3E427B9B"/>
    <w:rsid w:val="3E481465"/>
    <w:rsid w:val="3E4E6604"/>
    <w:rsid w:val="3E4E6CDE"/>
    <w:rsid w:val="3E4F6FC8"/>
    <w:rsid w:val="3E513A70"/>
    <w:rsid w:val="3E535F39"/>
    <w:rsid w:val="3E561CA0"/>
    <w:rsid w:val="3E56265A"/>
    <w:rsid w:val="3E5F25B3"/>
    <w:rsid w:val="3E623A41"/>
    <w:rsid w:val="3E633790"/>
    <w:rsid w:val="3E6B7E33"/>
    <w:rsid w:val="3E6D39BE"/>
    <w:rsid w:val="3E727522"/>
    <w:rsid w:val="3E7538EE"/>
    <w:rsid w:val="3E7E7092"/>
    <w:rsid w:val="3E850395"/>
    <w:rsid w:val="3E873689"/>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3243D"/>
    <w:rsid w:val="3ED8339A"/>
    <w:rsid w:val="3EE458A4"/>
    <w:rsid w:val="3EE830E2"/>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CF6640"/>
    <w:rsid w:val="3FD801CC"/>
    <w:rsid w:val="3FDF3057"/>
    <w:rsid w:val="3FF3291D"/>
    <w:rsid w:val="3FF45D31"/>
    <w:rsid w:val="3FFB249B"/>
    <w:rsid w:val="3FFB7550"/>
    <w:rsid w:val="3FFF6A7C"/>
    <w:rsid w:val="40040E62"/>
    <w:rsid w:val="4014244F"/>
    <w:rsid w:val="40170020"/>
    <w:rsid w:val="40224723"/>
    <w:rsid w:val="402C5CC2"/>
    <w:rsid w:val="402C7086"/>
    <w:rsid w:val="40313493"/>
    <w:rsid w:val="4036300F"/>
    <w:rsid w:val="40366445"/>
    <w:rsid w:val="40374A52"/>
    <w:rsid w:val="403D6FBF"/>
    <w:rsid w:val="403F6A53"/>
    <w:rsid w:val="404136C6"/>
    <w:rsid w:val="40427926"/>
    <w:rsid w:val="404444AE"/>
    <w:rsid w:val="40461D95"/>
    <w:rsid w:val="40465DB4"/>
    <w:rsid w:val="4051638A"/>
    <w:rsid w:val="405B3C67"/>
    <w:rsid w:val="405C46EC"/>
    <w:rsid w:val="405C4E3B"/>
    <w:rsid w:val="40600D15"/>
    <w:rsid w:val="40777B57"/>
    <w:rsid w:val="40791E0C"/>
    <w:rsid w:val="407B5438"/>
    <w:rsid w:val="407D7B0B"/>
    <w:rsid w:val="408550F0"/>
    <w:rsid w:val="408A4409"/>
    <w:rsid w:val="408F04FF"/>
    <w:rsid w:val="40933A21"/>
    <w:rsid w:val="40953B65"/>
    <w:rsid w:val="409A137C"/>
    <w:rsid w:val="409B757E"/>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02FFF"/>
    <w:rsid w:val="40E75767"/>
    <w:rsid w:val="40E8328F"/>
    <w:rsid w:val="40E94E3D"/>
    <w:rsid w:val="40F31A37"/>
    <w:rsid w:val="410419ED"/>
    <w:rsid w:val="410727A8"/>
    <w:rsid w:val="410A2C1B"/>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7C4C96"/>
    <w:rsid w:val="41803DA8"/>
    <w:rsid w:val="41820824"/>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400EE"/>
    <w:rsid w:val="41FA376E"/>
    <w:rsid w:val="41FE6CB2"/>
    <w:rsid w:val="420556C8"/>
    <w:rsid w:val="421251CC"/>
    <w:rsid w:val="4214720F"/>
    <w:rsid w:val="4217488D"/>
    <w:rsid w:val="421D7B36"/>
    <w:rsid w:val="422345EF"/>
    <w:rsid w:val="42240668"/>
    <w:rsid w:val="4226137B"/>
    <w:rsid w:val="422A1E24"/>
    <w:rsid w:val="422A2BDA"/>
    <w:rsid w:val="422A6940"/>
    <w:rsid w:val="422E486B"/>
    <w:rsid w:val="423400A6"/>
    <w:rsid w:val="424763C8"/>
    <w:rsid w:val="424C78FC"/>
    <w:rsid w:val="42582F93"/>
    <w:rsid w:val="425A4600"/>
    <w:rsid w:val="4265286C"/>
    <w:rsid w:val="42690B24"/>
    <w:rsid w:val="427378E6"/>
    <w:rsid w:val="427C184E"/>
    <w:rsid w:val="427C225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91349"/>
    <w:rsid w:val="42EE0EAA"/>
    <w:rsid w:val="42EF0CCD"/>
    <w:rsid w:val="42F1490F"/>
    <w:rsid w:val="42F25520"/>
    <w:rsid w:val="42F73D75"/>
    <w:rsid w:val="430D0405"/>
    <w:rsid w:val="431417E6"/>
    <w:rsid w:val="431F53C1"/>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BC172D"/>
    <w:rsid w:val="43C05A98"/>
    <w:rsid w:val="43C211B7"/>
    <w:rsid w:val="43C71A27"/>
    <w:rsid w:val="43C86C83"/>
    <w:rsid w:val="43C87BDE"/>
    <w:rsid w:val="43C95ED6"/>
    <w:rsid w:val="43D34204"/>
    <w:rsid w:val="43DC6ACC"/>
    <w:rsid w:val="43DD04DA"/>
    <w:rsid w:val="43E232E1"/>
    <w:rsid w:val="43E567A6"/>
    <w:rsid w:val="43F84F4E"/>
    <w:rsid w:val="43FE36A4"/>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8E6167"/>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75F3A"/>
    <w:rsid w:val="45080466"/>
    <w:rsid w:val="450C4F28"/>
    <w:rsid w:val="452378EF"/>
    <w:rsid w:val="4524750B"/>
    <w:rsid w:val="45286865"/>
    <w:rsid w:val="452B4AF6"/>
    <w:rsid w:val="452B5E55"/>
    <w:rsid w:val="452F2E18"/>
    <w:rsid w:val="4532333B"/>
    <w:rsid w:val="45327B09"/>
    <w:rsid w:val="45380A36"/>
    <w:rsid w:val="4541568B"/>
    <w:rsid w:val="45491E06"/>
    <w:rsid w:val="454F23C2"/>
    <w:rsid w:val="45500C3F"/>
    <w:rsid w:val="455A0801"/>
    <w:rsid w:val="455E51F5"/>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8501C"/>
    <w:rsid w:val="45CB77B5"/>
    <w:rsid w:val="45CF3D0C"/>
    <w:rsid w:val="45D6540C"/>
    <w:rsid w:val="45D70722"/>
    <w:rsid w:val="45DA00BF"/>
    <w:rsid w:val="45DB0A71"/>
    <w:rsid w:val="45DD0DBB"/>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B9047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1C00F5"/>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3504B"/>
    <w:rsid w:val="475A014C"/>
    <w:rsid w:val="475B61F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1432B"/>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1A3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5221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801E9"/>
    <w:rsid w:val="48AD72C6"/>
    <w:rsid w:val="48B3188D"/>
    <w:rsid w:val="48C2259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3F2507"/>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3EDD"/>
    <w:rsid w:val="49C060D9"/>
    <w:rsid w:val="49C67DAB"/>
    <w:rsid w:val="49C7764E"/>
    <w:rsid w:val="49D83A18"/>
    <w:rsid w:val="49D8668C"/>
    <w:rsid w:val="49DB3A45"/>
    <w:rsid w:val="49E73C0B"/>
    <w:rsid w:val="49E92B16"/>
    <w:rsid w:val="49EC1B26"/>
    <w:rsid w:val="49FC7FA2"/>
    <w:rsid w:val="4A017C98"/>
    <w:rsid w:val="4A042139"/>
    <w:rsid w:val="4A080E5C"/>
    <w:rsid w:val="4A0C44E3"/>
    <w:rsid w:val="4A1C1EE0"/>
    <w:rsid w:val="4A1D0A93"/>
    <w:rsid w:val="4A210B7E"/>
    <w:rsid w:val="4A2D197A"/>
    <w:rsid w:val="4A335E86"/>
    <w:rsid w:val="4A357040"/>
    <w:rsid w:val="4A366A1B"/>
    <w:rsid w:val="4A3B0DBF"/>
    <w:rsid w:val="4A3C074A"/>
    <w:rsid w:val="4A3C3645"/>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74D15"/>
    <w:rsid w:val="4AF30717"/>
    <w:rsid w:val="4AF54381"/>
    <w:rsid w:val="4AFF07F1"/>
    <w:rsid w:val="4AFF2915"/>
    <w:rsid w:val="4B000128"/>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A62F3"/>
    <w:rsid w:val="4BAC02EC"/>
    <w:rsid w:val="4BAD02A0"/>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2D50A6"/>
    <w:rsid w:val="4C300A96"/>
    <w:rsid w:val="4C366339"/>
    <w:rsid w:val="4C3900BA"/>
    <w:rsid w:val="4C3972A1"/>
    <w:rsid w:val="4C443324"/>
    <w:rsid w:val="4C4A1538"/>
    <w:rsid w:val="4C4B5CF1"/>
    <w:rsid w:val="4C4C161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76305"/>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4F32B7"/>
    <w:rsid w:val="4D501E9E"/>
    <w:rsid w:val="4D5545A3"/>
    <w:rsid w:val="4D56242D"/>
    <w:rsid w:val="4D5E313C"/>
    <w:rsid w:val="4D60132F"/>
    <w:rsid w:val="4D63794E"/>
    <w:rsid w:val="4D69275F"/>
    <w:rsid w:val="4D696340"/>
    <w:rsid w:val="4D6E1562"/>
    <w:rsid w:val="4D6E2B65"/>
    <w:rsid w:val="4D716B09"/>
    <w:rsid w:val="4D717673"/>
    <w:rsid w:val="4D7464F6"/>
    <w:rsid w:val="4D7A1765"/>
    <w:rsid w:val="4D7D4CCF"/>
    <w:rsid w:val="4D821CF2"/>
    <w:rsid w:val="4D8412B2"/>
    <w:rsid w:val="4D841638"/>
    <w:rsid w:val="4D8A3A34"/>
    <w:rsid w:val="4D8C2260"/>
    <w:rsid w:val="4D8F063D"/>
    <w:rsid w:val="4D95193A"/>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3468B"/>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652928"/>
    <w:rsid w:val="4F727B71"/>
    <w:rsid w:val="4F7457B4"/>
    <w:rsid w:val="4F77430D"/>
    <w:rsid w:val="4F7B78F2"/>
    <w:rsid w:val="4F7F2C82"/>
    <w:rsid w:val="4F874785"/>
    <w:rsid w:val="4F885556"/>
    <w:rsid w:val="4F8906F1"/>
    <w:rsid w:val="4F8C1C07"/>
    <w:rsid w:val="4F8C6DE9"/>
    <w:rsid w:val="4F94645F"/>
    <w:rsid w:val="4F956923"/>
    <w:rsid w:val="4F976963"/>
    <w:rsid w:val="4F9B10BF"/>
    <w:rsid w:val="4F9C0E3D"/>
    <w:rsid w:val="4F9C1E6A"/>
    <w:rsid w:val="4F9E3A19"/>
    <w:rsid w:val="4FA057FA"/>
    <w:rsid w:val="4FA50BF5"/>
    <w:rsid w:val="4FAB3195"/>
    <w:rsid w:val="4FAE1C5C"/>
    <w:rsid w:val="4FAE2769"/>
    <w:rsid w:val="4FAF30C3"/>
    <w:rsid w:val="4FB30E7E"/>
    <w:rsid w:val="4FBA0D2B"/>
    <w:rsid w:val="4FBF63C5"/>
    <w:rsid w:val="4FC207F4"/>
    <w:rsid w:val="4FC35E15"/>
    <w:rsid w:val="4FC67EEA"/>
    <w:rsid w:val="4FCA0E85"/>
    <w:rsid w:val="4FCA225C"/>
    <w:rsid w:val="4FCF59AE"/>
    <w:rsid w:val="4FD27897"/>
    <w:rsid w:val="4FD33884"/>
    <w:rsid w:val="4FD41744"/>
    <w:rsid w:val="4FD72D6F"/>
    <w:rsid w:val="4FDB0443"/>
    <w:rsid w:val="4FDC67FA"/>
    <w:rsid w:val="4FDD4983"/>
    <w:rsid w:val="4FE03E26"/>
    <w:rsid w:val="4FE35B5F"/>
    <w:rsid w:val="4FEA54E4"/>
    <w:rsid w:val="4FED181D"/>
    <w:rsid w:val="4FF100DC"/>
    <w:rsid w:val="4FFC718E"/>
    <w:rsid w:val="4FFF6CFC"/>
    <w:rsid w:val="50082EF5"/>
    <w:rsid w:val="500D60A8"/>
    <w:rsid w:val="50100F97"/>
    <w:rsid w:val="50146771"/>
    <w:rsid w:val="50174394"/>
    <w:rsid w:val="501A0BBE"/>
    <w:rsid w:val="501A21E0"/>
    <w:rsid w:val="5021442D"/>
    <w:rsid w:val="502226B7"/>
    <w:rsid w:val="502859E2"/>
    <w:rsid w:val="50290847"/>
    <w:rsid w:val="503175D5"/>
    <w:rsid w:val="5034215C"/>
    <w:rsid w:val="503625F2"/>
    <w:rsid w:val="503A6544"/>
    <w:rsid w:val="503C53AC"/>
    <w:rsid w:val="5046799C"/>
    <w:rsid w:val="50491BF2"/>
    <w:rsid w:val="50535CB7"/>
    <w:rsid w:val="505A42A1"/>
    <w:rsid w:val="505B684C"/>
    <w:rsid w:val="50697F59"/>
    <w:rsid w:val="50710328"/>
    <w:rsid w:val="50715A85"/>
    <w:rsid w:val="50734618"/>
    <w:rsid w:val="5073496F"/>
    <w:rsid w:val="50885115"/>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0A61B6"/>
    <w:rsid w:val="511013F5"/>
    <w:rsid w:val="51130C19"/>
    <w:rsid w:val="511462DE"/>
    <w:rsid w:val="511934F5"/>
    <w:rsid w:val="511A650A"/>
    <w:rsid w:val="511B7FED"/>
    <w:rsid w:val="511D524D"/>
    <w:rsid w:val="51211654"/>
    <w:rsid w:val="5133763C"/>
    <w:rsid w:val="51393A83"/>
    <w:rsid w:val="513B3DF9"/>
    <w:rsid w:val="51401B57"/>
    <w:rsid w:val="51480A97"/>
    <w:rsid w:val="51540609"/>
    <w:rsid w:val="51724F8D"/>
    <w:rsid w:val="51756972"/>
    <w:rsid w:val="517E1E1F"/>
    <w:rsid w:val="51813564"/>
    <w:rsid w:val="518167F0"/>
    <w:rsid w:val="51844B36"/>
    <w:rsid w:val="51896510"/>
    <w:rsid w:val="518B1B6A"/>
    <w:rsid w:val="518B739B"/>
    <w:rsid w:val="519410BA"/>
    <w:rsid w:val="51965D8A"/>
    <w:rsid w:val="519F1F6B"/>
    <w:rsid w:val="51AB65B4"/>
    <w:rsid w:val="51B66A68"/>
    <w:rsid w:val="51BC09C0"/>
    <w:rsid w:val="51BD7EC2"/>
    <w:rsid w:val="51C44E72"/>
    <w:rsid w:val="51C819AA"/>
    <w:rsid w:val="51CC7C75"/>
    <w:rsid w:val="51CD5E2E"/>
    <w:rsid w:val="51D00AA7"/>
    <w:rsid w:val="51D05768"/>
    <w:rsid w:val="51D230DC"/>
    <w:rsid w:val="51D34DB4"/>
    <w:rsid w:val="51DA0FA7"/>
    <w:rsid w:val="51E27B8C"/>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1C56"/>
    <w:rsid w:val="52363194"/>
    <w:rsid w:val="52365463"/>
    <w:rsid w:val="5237135B"/>
    <w:rsid w:val="5240020F"/>
    <w:rsid w:val="52441580"/>
    <w:rsid w:val="5247336B"/>
    <w:rsid w:val="524A5C68"/>
    <w:rsid w:val="52513518"/>
    <w:rsid w:val="52532968"/>
    <w:rsid w:val="52546140"/>
    <w:rsid w:val="525D3774"/>
    <w:rsid w:val="525D5F17"/>
    <w:rsid w:val="525F53B1"/>
    <w:rsid w:val="52643DC8"/>
    <w:rsid w:val="52685DAE"/>
    <w:rsid w:val="526D0958"/>
    <w:rsid w:val="52734368"/>
    <w:rsid w:val="52836832"/>
    <w:rsid w:val="52855E16"/>
    <w:rsid w:val="52924B44"/>
    <w:rsid w:val="529A7E86"/>
    <w:rsid w:val="52A15492"/>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27648A"/>
    <w:rsid w:val="53311BF2"/>
    <w:rsid w:val="533D4C85"/>
    <w:rsid w:val="53447CBE"/>
    <w:rsid w:val="53456AB3"/>
    <w:rsid w:val="534641E0"/>
    <w:rsid w:val="534718C6"/>
    <w:rsid w:val="53496F02"/>
    <w:rsid w:val="534B2225"/>
    <w:rsid w:val="534D106F"/>
    <w:rsid w:val="534F4759"/>
    <w:rsid w:val="53540D68"/>
    <w:rsid w:val="535A036F"/>
    <w:rsid w:val="535A7D93"/>
    <w:rsid w:val="53624B78"/>
    <w:rsid w:val="536D1FA0"/>
    <w:rsid w:val="53772DC7"/>
    <w:rsid w:val="537920B8"/>
    <w:rsid w:val="53794812"/>
    <w:rsid w:val="5381746B"/>
    <w:rsid w:val="538459BE"/>
    <w:rsid w:val="53850593"/>
    <w:rsid w:val="538E4601"/>
    <w:rsid w:val="53934D8F"/>
    <w:rsid w:val="5397293F"/>
    <w:rsid w:val="539D297E"/>
    <w:rsid w:val="53A065E4"/>
    <w:rsid w:val="53A1457E"/>
    <w:rsid w:val="53A22DC5"/>
    <w:rsid w:val="53A32E20"/>
    <w:rsid w:val="53AE4BE8"/>
    <w:rsid w:val="53B151E7"/>
    <w:rsid w:val="53B5455A"/>
    <w:rsid w:val="53BB16B1"/>
    <w:rsid w:val="53BB4E26"/>
    <w:rsid w:val="53BC6427"/>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3F202A"/>
    <w:rsid w:val="54412BF0"/>
    <w:rsid w:val="54422EDA"/>
    <w:rsid w:val="544417C9"/>
    <w:rsid w:val="544B50D5"/>
    <w:rsid w:val="54514458"/>
    <w:rsid w:val="54560958"/>
    <w:rsid w:val="546A78D3"/>
    <w:rsid w:val="54767E31"/>
    <w:rsid w:val="54781903"/>
    <w:rsid w:val="548878FA"/>
    <w:rsid w:val="548A1E4E"/>
    <w:rsid w:val="548D289E"/>
    <w:rsid w:val="54910BA4"/>
    <w:rsid w:val="549A0616"/>
    <w:rsid w:val="549B20E6"/>
    <w:rsid w:val="549E3FD7"/>
    <w:rsid w:val="54A60315"/>
    <w:rsid w:val="54A60A72"/>
    <w:rsid w:val="54A7458A"/>
    <w:rsid w:val="54B86248"/>
    <w:rsid w:val="54C24B82"/>
    <w:rsid w:val="54C50B9C"/>
    <w:rsid w:val="54CA3C93"/>
    <w:rsid w:val="54D00FCE"/>
    <w:rsid w:val="54D51870"/>
    <w:rsid w:val="54D90E80"/>
    <w:rsid w:val="54E21F4F"/>
    <w:rsid w:val="54E71077"/>
    <w:rsid w:val="54E925A9"/>
    <w:rsid w:val="54EC65A5"/>
    <w:rsid w:val="54F01E14"/>
    <w:rsid w:val="54F54248"/>
    <w:rsid w:val="54FE0D5F"/>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08DB"/>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67AD8"/>
    <w:rsid w:val="55E77B0B"/>
    <w:rsid w:val="55EE3558"/>
    <w:rsid w:val="55F3287B"/>
    <w:rsid w:val="55FC1DF1"/>
    <w:rsid w:val="55FD5512"/>
    <w:rsid w:val="55FD6C2D"/>
    <w:rsid w:val="5601397B"/>
    <w:rsid w:val="5602472C"/>
    <w:rsid w:val="5611799E"/>
    <w:rsid w:val="5614039E"/>
    <w:rsid w:val="561978EB"/>
    <w:rsid w:val="561D0938"/>
    <w:rsid w:val="56254844"/>
    <w:rsid w:val="5627749C"/>
    <w:rsid w:val="562C48A4"/>
    <w:rsid w:val="562E289A"/>
    <w:rsid w:val="56324964"/>
    <w:rsid w:val="5635337A"/>
    <w:rsid w:val="56366E0D"/>
    <w:rsid w:val="563B1048"/>
    <w:rsid w:val="563C2D0A"/>
    <w:rsid w:val="563C657A"/>
    <w:rsid w:val="563F1C04"/>
    <w:rsid w:val="5646524C"/>
    <w:rsid w:val="5649734E"/>
    <w:rsid w:val="564C445F"/>
    <w:rsid w:val="564E3688"/>
    <w:rsid w:val="56514294"/>
    <w:rsid w:val="566355DD"/>
    <w:rsid w:val="56680BC9"/>
    <w:rsid w:val="56690DA7"/>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12DB7"/>
    <w:rsid w:val="56F25548"/>
    <w:rsid w:val="56F418BC"/>
    <w:rsid w:val="56FB556C"/>
    <w:rsid w:val="57004C44"/>
    <w:rsid w:val="57024A7F"/>
    <w:rsid w:val="570C2BE8"/>
    <w:rsid w:val="570D00B1"/>
    <w:rsid w:val="570D35F8"/>
    <w:rsid w:val="57273EC6"/>
    <w:rsid w:val="5730740B"/>
    <w:rsid w:val="57320543"/>
    <w:rsid w:val="57351A93"/>
    <w:rsid w:val="573D0DE5"/>
    <w:rsid w:val="574940F5"/>
    <w:rsid w:val="575163DC"/>
    <w:rsid w:val="57564B03"/>
    <w:rsid w:val="575718A5"/>
    <w:rsid w:val="57576764"/>
    <w:rsid w:val="575D1406"/>
    <w:rsid w:val="575D7DC0"/>
    <w:rsid w:val="57646E8D"/>
    <w:rsid w:val="57650A3D"/>
    <w:rsid w:val="57711DF8"/>
    <w:rsid w:val="577269D1"/>
    <w:rsid w:val="577D7C19"/>
    <w:rsid w:val="57820DD4"/>
    <w:rsid w:val="578474C5"/>
    <w:rsid w:val="57883154"/>
    <w:rsid w:val="578F5E8E"/>
    <w:rsid w:val="578F659F"/>
    <w:rsid w:val="5795251B"/>
    <w:rsid w:val="579677D0"/>
    <w:rsid w:val="57984454"/>
    <w:rsid w:val="579C47BB"/>
    <w:rsid w:val="579D6CE4"/>
    <w:rsid w:val="579F608F"/>
    <w:rsid w:val="57A14D1F"/>
    <w:rsid w:val="57A43F9B"/>
    <w:rsid w:val="57A91D3B"/>
    <w:rsid w:val="57AD63CA"/>
    <w:rsid w:val="57B12D5D"/>
    <w:rsid w:val="57B65178"/>
    <w:rsid w:val="57BF4BA2"/>
    <w:rsid w:val="57C0641D"/>
    <w:rsid w:val="57C52144"/>
    <w:rsid w:val="57C648C9"/>
    <w:rsid w:val="57C9266E"/>
    <w:rsid w:val="57D16940"/>
    <w:rsid w:val="57D20BE2"/>
    <w:rsid w:val="57D5434D"/>
    <w:rsid w:val="57E044E1"/>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7569F"/>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206E5"/>
    <w:rsid w:val="59037DF7"/>
    <w:rsid w:val="590A5CB9"/>
    <w:rsid w:val="590C4050"/>
    <w:rsid w:val="590C6777"/>
    <w:rsid w:val="591531CC"/>
    <w:rsid w:val="59175B2C"/>
    <w:rsid w:val="591B200C"/>
    <w:rsid w:val="59314A2C"/>
    <w:rsid w:val="593712A6"/>
    <w:rsid w:val="59376AEA"/>
    <w:rsid w:val="59384413"/>
    <w:rsid w:val="59391116"/>
    <w:rsid w:val="59407EC1"/>
    <w:rsid w:val="59450184"/>
    <w:rsid w:val="5949292D"/>
    <w:rsid w:val="594C4BE4"/>
    <w:rsid w:val="59520002"/>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632A1"/>
    <w:rsid w:val="59D75E4C"/>
    <w:rsid w:val="59D96101"/>
    <w:rsid w:val="59EE4079"/>
    <w:rsid w:val="59F04440"/>
    <w:rsid w:val="59F141F6"/>
    <w:rsid w:val="59FC056D"/>
    <w:rsid w:val="59FF3986"/>
    <w:rsid w:val="5A02602A"/>
    <w:rsid w:val="5A0B4DE2"/>
    <w:rsid w:val="5A104541"/>
    <w:rsid w:val="5A16478D"/>
    <w:rsid w:val="5A1E3F86"/>
    <w:rsid w:val="5A213C60"/>
    <w:rsid w:val="5A21777F"/>
    <w:rsid w:val="5A2250DB"/>
    <w:rsid w:val="5A2331A8"/>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45BA"/>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25575"/>
    <w:rsid w:val="5AC4568B"/>
    <w:rsid w:val="5AC465B0"/>
    <w:rsid w:val="5AC9126A"/>
    <w:rsid w:val="5ACB4402"/>
    <w:rsid w:val="5ACD5F94"/>
    <w:rsid w:val="5AD004C7"/>
    <w:rsid w:val="5AD140B1"/>
    <w:rsid w:val="5AD7618C"/>
    <w:rsid w:val="5ADC54ED"/>
    <w:rsid w:val="5AE627DD"/>
    <w:rsid w:val="5AE65AC1"/>
    <w:rsid w:val="5AE72CFB"/>
    <w:rsid w:val="5AE75B53"/>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72DC1"/>
    <w:rsid w:val="5BA857C0"/>
    <w:rsid w:val="5BAF0D57"/>
    <w:rsid w:val="5BBC3894"/>
    <w:rsid w:val="5BBC7CD9"/>
    <w:rsid w:val="5BC207F8"/>
    <w:rsid w:val="5BC95954"/>
    <w:rsid w:val="5BCA0DED"/>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06D7C"/>
    <w:rsid w:val="5C42208F"/>
    <w:rsid w:val="5C4302AF"/>
    <w:rsid w:val="5C496E06"/>
    <w:rsid w:val="5C501594"/>
    <w:rsid w:val="5C530A3F"/>
    <w:rsid w:val="5C533B56"/>
    <w:rsid w:val="5C5820E1"/>
    <w:rsid w:val="5C5D3398"/>
    <w:rsid w:val="5C63455C"/>
    <w:rsid w:val="5C690B0C"/>
    <w:rsid w:val="5C7103F1"/>
    <w:rsid w:val="5C734616"/>
    <w:rsid w:val="5C8E4D46"/>
    <w:rsid w:val="5C907319"/>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17C36"/>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B6862"/>
    <w:rsid w:val="5D7E3940"/>
    <w:rsid w:val="5D813DE2"/>
    <w:rsid w:val="5D850140"/>
    <w:rsid w:val="5D8C6494"/>
    <w:rsid w:val="5D8F323A"/>
    <w:rsid w:val="5D9638E2"/>
    <w:rsid w:val="5D9658FD"/>
    <w:rsid w:val="5D980180"/>
    <w:rsid w:val="5DA00BBA"/>
    <w:rsid w:val="5DA13035"/>
    <w:rsid w:val="5DA264BD"/>
    <w:rsid w:val="5DA42E50"/>
    <w:rsid w:val="5DA81A7E"/>
    <w:rsid w:val="5DA81B3F"/>
    <w:rsid w:val="5DAE7141"/>
    <w:rsid w:val="5DB62AA6"/>
    <w:rsid w:val="5DB76529"/>
    <w:rsid w:val="5DC0151D"/>
    <w:rsid w:val="5DC53FF5"/>
    <w:rsid w:val="5DCA57A1"/>
    <w:rsid w:val="5DCE4D4E"/>
    <w:rsid w:val="5DD02444"/>
    <w:rsid w:val="5DD21316"/>
    <w:rsid w:val="5DD30C3F"/>
    <w:rsid w:val="5DD649D0"/>
    <w:rsid w:val="5DDC52FB"/>
    <w:rsid w:val="5DE00370"/>
    <w:rsid w:val="5DE00F62"/>
    <w:rsid w:val="5DE05104"/>
    <w:rsid w:val="5DE20BD2"/>
    <w:rsid w:val="5DE24087"/>
    <w:rsid w:val="5DE26ACA"/>
    <w:rsid w:val="5DE37EA6"/>
    <w:rsid w:val="5DE518A9"/>
    <w:rsid w:val="5DE7331D"/>
    <w:rsid w:val="5DEA787A"/>
    <w:rsid w:val="5DEE4F56"/>
    <w:rsid w:val="5DF23E5C"/>
    <w:rsid w:val="5DF32F4F"/>
    <w:rsid w:val="5DF82D4E"/>
    <w:rsid w:val="5DF946B2"/>
    <w:rsid w:val="5DFA04F6"/>
    <w:rsid w:val="5DFC0198"/>
    <w:rsid w:val="5E034523"/>
    <w:rsid w:val="5E090D92"/>
    <w:rsid w:val="5E0F4AE9"/>
    <w:rsid w:val="5E0F732F"/>
    <w:rsid w:val="5E146038"/>
    <w:rsid w:val="5E2D2F8F"/>
    <w:rsid w:val="5E2E2427"/>
    <w:rsid w:val="5E2E257F"/>
    <w:rsid w:val="5E2F27BA"/>
    <w:rsid w:val="5E3068B0"/>
    <w:rsid w:val="5E335822"/>
    <w:rsid w:val="5E3969C7"/>
    <w:rsid w:val="5E407912"/>
    <w:rsid w:val="5E433AC6"/>
    <w:rsid w:val="5E450C44"/>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CE7ED8"/>
    <w:rsid w:val="5ED01BB4"/>
    <w:rsid w:val="5ED650D9"/>
    <w:rsid w:val="5ED75DC6"/>
    <w:rsid w:val="5ED8510A"/>
    <w:rsid w:val="5ED938A6"/>
    <w:rsid w:val="5EDA017A"/>
    <w:rsid w:val="5EDE0371"/>
    <w:rsid w:val="5EDF33E5"/>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26C9D"/>
    <w:rsid w:val="5F254AD4"/>
    <w:rsid w:val="5F2C1ADA"/>
    <w:rsid w:val="5F307E55"/>
    <w:rsid w:val="5F3C6F75"/>
    <w:rsid w:val="5F403104"/>
    <w:rsid w:val="5F415D9D"/>
    <w:rsid w:val="5F4744F9"/>
    <w:rsid w:val="5F496628"/>
    <w:rsid w:val="5F5111A7"/>
    <w:rsid w:val="5F514A63"/>
    <w:rsid w:val="5F5A6471"/>
    <w:rsid w:val="5F5C1FA9"/>
    <w:rsid w:val="5F5D2245"/>
    <w:rsid w:val="5F5F4C16"/>
    <w:rsid w:val="5F692F24"/>
    <w:rsid w:val="5F6A0B5D"/>
    <w:rsid w:val="5F6C211E"/>
    <w:rsid w:val="5F6C79BB"/>
    <w:rsid w:val="5F727DD0"/>
    <w:rsid w:val="5F734791"/>
    <w:rsid w:val="5F7536CD"/>
    <w:rsid w:val="5F794FC5"/>
    <w:rsid w:val="5F7C1730"/>
    <w:rsid w:val="5F7D7874"/>
    <w:rsid w:val="5F7F4748"/>
    <w:rsid w:val="5F872BDD"/>
    <w:rsid w:val="5F8A1362"/>
    <w:rsid w:val="5F9014AE"/>
    <w:rsid w:val="5F9A3324"/>
    <w:rsid w:val="5FA2777D"/>
    <w:rsid w:val="5FA55820"/>
    <w:rsid w:val="5FA948D4"/>
    <w:rsid w:val="5FB372F0"/>
    <w:rsid w:val="5FC017AD"/>
    <w:rsid w:val="5FC51452"/>
    <w:rsid w:val="5FC729F3"/>
    <w:rsid w:val="5FC83815"/>
    <w:rsid w:val="5FD7706A"/>
    <w:rsid w:val="5FDB4F3D"/>
    <w:rsid w:val="5FE10819"/>
    <w:rsid w:val="5FE30BA2"/>
    <w:rsid w:val="5FE9054F"/>
    <w:rsid w:val="5FF446A9"/>
    <w:rsid w:val="5FF85070"/>
    <w:rsid w:val="5FF940F0"/>
    <w:rsid w:val="5FF96A19"/>
    <w:rsid w:val="5FF96E21"/>
    <w:rsid w:val="5FFC4F56"/>
    <w:rsid w:val="6003548B"/>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07777"/>
    <w:rsid w:val="605F164B"/>
    <w:rsid w:val="6061481C"/>
    <w:rsid w:val="606A3E56"/>
    <w:rsid w:val="60713FA6"/>
    <w:rsid w:val="6073189D"/>
    <w:rsid w:val="607443D2"/>
    <w:rsid w:val="6075702F"/>
    <w:rsid w:val="607A48AD"/>
    <w:rsid w:val="607C6421"/>
    <w:rsid w:val="607F5CD0"/>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FD3"/>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03EEE"/>
    <w:rsid w:val="61D9129E"/>
    <w:rsid w:val="61E363D8"/>
    <w:rsid w:val="61F74CCA"/>
    <w:rsid w:val="61F85E47"/>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44AD"/>
    <w:rsid w:val="624871FD"/>
    <w:rsid w:val="624B0C0E"/>
    <w:rsid w:val="62570F9F"/>
    <w:rsid w:val="6257242E"/>
    <w:rsid w:val="62580196"/>
    <w:rsid w:val="625E4138"/>
    <w:rsid w:val="6263351F"/>
    <w:rsid w:val="62645753"/>
    <w:rsid w:val="62660FBE"/>
    <w:rsid w:val="62671568"/>
    <w:rsid w:val="626D669B"/>
    <w:rsid w:val="626E1485"/>
    <w:rsid w:val="62724472"/>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5EA5"/>
    <w:rsid w:val="62B86FA9"/>
    <w:rsid w:val="62BC3E88"/>
    <w:rsid w:val="62C002AA"/>
    <w:rsid w:val="62CD5C23"/>
    <w:rsid w:val="62D67E2B"/>
    <w:rsid w:val="62D901BE"/>
    <w:rsid w:val="62DF4F75"/>
    <w:rsid w:val="62E15891"/>
    <w:rsid w:val="62E76DF3"/>
    <w:rsid w:val="62EA5C2C"/>
    <w:rsid w:val="62F562C0"/>
    <w:rsid w:val="62FD04F8"/>
    <w:rsid w:val="62FF6655"/>
    <w:rsid w:val="63074D4D"/>
    <w:rsid w:val="630E2EB5"/>
    <w:rsid w:val="63126B2F"/>
    <w:rsid w:val="63133D38"/>
    <w:rsid w:val="631779BD"/>
    <w:rsid w:val="632E498D"/>
    <w:rsid w:val="633336D4"/>
    <w:rsid w:val="63350F4B"/>
    <w:rsid w:val="63351903"/>
    <w:rsid w:val="6335724C"/>
    <w:rsid w:val="6341499B"/>
    <w:rsid w:val="63416F64"/>
    <w:rsid w:val="634325ED"/>
    <w:rsid w:val="63443AEC"/>
    <w:rsid w:val="634802B3"/>
    <w:rsid w:val="63547A08"/>
    <w:rsid w:val="63574F6E"/>
    <w:rsid w:val="635C28DF"/>
    <w:rsid w:val="63602152"/>
    <w:rsid w:val="636075B2"/>
    <w:rsid w:val="63652712"/>
    <w:rsid w:val="636A0F15"/>
    <w:rsid w:val="637030CB"/>
    <w:rsid w:val="637A63EB"/>
    <w:rsid w:val="6385218B"/>
    <w:rsid w:val="638541CF"/>
    <w:rsid w:val="63864A92"/>
    <w:rsid w:val="638958C1"/>
    <w:rsid w:val="639154D4"/>
    <w:rsid w:val="63951C95"/>
    <w:rsid w:val="639A0875"/>
    <w:rsid w:val="639B71D2"/>
    <w:rsid w:val="63A17DFD"/>
    <w:rsid w:val="63AB1FE1"/>
    <w:rsid w:val="63B01ED8"/>
    <w:rsid w:val="63B5452C"/>
    <w:rsid w:val="63B76AE2"/>
    <w:rsid w:val="63BD439C"/>
    <w:rsid w:val="63BD7C68"/>
    <w:rsid w:val="63C41DD1"/>
    <w:rsid w:val="63C72372"/>
    <w:rsid w:val="63C977A8"/>
    <w:rsid w:val="63CC30E1"/>
    <w:rsid w:val="63D25757"/>
    <w:rsid w:val="63D32D5D"/>
    <w:rsid w:val="63D72CE7"/>
    <w:rsid w:val="63E03FEA"/>
    <w:rsid w:val="63E33D27"/>
    <w:rsid w:val="63E96742"/>
    <w:rsid w:val="63EE5BED"/>
    <w:rsid w:val="63F25DA5"/>
    <w:rsid w:val="63FC5574"/>
    <w:rsid w:val="63FF74B5"/>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8F59E0"/>
    <w:rsid w:val="649040B2"/>
    <w:rsid w:val="64932164"/>
    <w:rsid w:val="64990A00"/>
    <w:rsid w:val="649C4ECA"/>
    <w:rsid w:val="64AB6B0F"/>
    <w:rsid w:val="64AD64C8"/>
    <w:rsid w:val="64AE4EA4"/>
    <w:rsid w:val="64B11EFC"/>
    <w:rsid w:val="64B34835"/>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4E11"/>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81A89"/>
    <w:rsid w:val="653F3F4B"/>
    <w:rsid w:val="6540130A"/>
    <w:rsid w:val="65442614"/>
    <w:rsid w:val="65474108"/>
    <w:rsid w:val="65483234"/>
    <w:rsid w:val="654A70DD"/>
    <w:rsid w:val="65506794"/>
    <w:rsid w:val="65572F3C"/>
    <w:rsid w:val="655A3450"/>
    <w:rsid w:val="655E4E68"/>
    <w:rsid w:val="656503D7"/>
    <w:rsid w:val="656630D1"/>
    <w:rsid w:val="657024EB"/>
    <w:rsid w:val="6570285A"/>
    <w:rsid w:val="65745028"/>
    <w:rsid w:val="65776C14"/>
    <w:rsid w:val="65786867"/>
    <w:rsid w:val="657A5192"/>
    <w:rsid w:val="657C01A2"/>
    <w:rsid w:val="657D055C"/>
    <w:rsid w:val="65880D68"/>
    <w:rsid w:val="6588700C"/>
    <w:rsid w:val="658F3432"/>
    <w:rsid w:val="659000AC"/>
    <w:rsid w:val="65945ABB"/>
    <w:rsid w:val="6595479B"/>
    <w:rsid w:val="659E4899"/>
    <w:rsid w:val="65AF5A95"/>
    <w:rsid w:val="65B43B78"/>
    <w:rsid w:val="65B50B8D"/>
    <w:rsid w:val="65B63190"/>
    <w:rsid w:val="65BC64AA"/>
    <w:rsid w:val="65C83518"/>
    <w:rsid w:val="65CF6FA8"/>
    <w:rsid w:val="65E06B23"/>
    <w:rsid w:val="65E731DB"/>
    <w:rsid w:val="65EB61D4"/>
    <w:rsid w:val="65EE4D2A"/>
    <w:rsid w:val="65F04330"/>
    <w:rsid w:val="65F20F15"/>
    <w:rsid w:val="65F3675D"/>
    <w:rsid w:val="65F618D7"/>
    <w:rsid w:val="65F80E56"/>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36893"/>
    <w:rsid w:val="667A0C6A"/>
    <w:rsid w:val="667A263F"/>
    <w:rsid w:val="66802FE7"/>
    <w:rsid w:val="66812D23"/>
    <w:rsid w:val="668B6CD0"/>
    <w:rsid w:val="66987E42"/>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C1C11"/>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C0DCB"/>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73698"/>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13000"/>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00969"/>
    <w:rsid w:val="68426F29"/>
    <w:rsid w:val="68430152"/>
    <w:rsid w:val="68466DDB"/>
    <w:rsid w:val="684A684C"/>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0467B"/>
    <w:rsid w:val="68A41E22"/>
    <w:rsid w:val="68A77B97"/>
    <w:rsid w:val="68A97007"/>
    <w:rsid w:val="68B478A9"/>
    <w:rsid w:val="68BC201A"/>
    <w:rsid w:val="68C6004A"/>
    <w:rsid w:val="68D12468"/>
    <w:rsid w:val="68D542A9"/>
    <w:rsid w:val="68E1040E"/>
    <w:rsid w:val="68E21FF5"/>
    <w:rsid w:val="68E269FC"/>
    <w:rsid w:val="68E43CE8"/>
    <w:rsid w:val="68F3092C"/>
    <w:rsid w:val="68F56459"/>
    <w:rsid w:val="690071B5"/>
    <w:rsid w:val="69007486"/>
    <w:rsid w:val="690120D7"/>
    <w:rsid w:val="69072F35"/>
    <w:rsid w:val="690916D6"/>
    <w:rsid w:val="69092A95"/>
    <w:rsid w:val="690952C8"/>
    <w:rsid w:val="69153A94"/>
    <w:rsid w:val="691A6F97"/>
    <w:rsid w:val="693536AB"/>
    <w:rsid w:val="694101FB"/>
    <w:rsid w:val="69461F86"/>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3126D"/>
    <w:rsid w:val="698922A3"/>
    <w:rsid w:val="6989270C"/>
    <w:rsid w:val="69893B07"/>
    <w:rsid w:val="698B44CB"/>
    <w:rsid w:val="699129B0"/>
    <w:rsid w:val="699D0C87"/>
    <w:rsid w:val="69A14334"/>
    <w:rsid w:val="69A15775"/>
    <w:rsid w:val="69B33A08"/>
    <w:rsid w:val="69B649A4"/>
    <w:rsid w:val="69C026AD"/>
    <w:rsid w:val="69C40C44"/>
    <w:rsid w:val="69C4366B"/>
    <w:rsid w:val="69C658E4"/>
    <w:rsid w:val="69C963D9"/>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12F8"/>
    <w:rsid w:val="6A3C7CC8"/>
    <w:rsid w:val="6A3F27B9"/>
    <w:rsid w:val="6A404E3D"/>
    <w:rsid w:val="6A410176"/>
    <w:rsid w:val="6A434B44"/>
    <w:rsid w:val="6A4574D8"/>
    <w:rsid w:val="6A531D1B"/>
    <w:rsid w:val="6A5B3F34"/>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BA2A62"/>
    <w:rsid w:val="6AC032BC"/>
    <w:rsid w:val="6AC8092A"/>
    <w:rsid w:val="6AD06A6E"/>
    <w:rsid w:val="6AD8058D"/>
    <w:rsid w:val="6ADF4062"/>
    <w:rsid w:val="6AE0794B"/>
    <w:rsid w:val="6AE1028F"/>
    <w:rsid w:val="6AE51730"/>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77900"/>
    <w:rsid w:val="6B7A615E"/>
    <w:rsid w:val="6B7E0908"/>
    <w:rsid w:val="6B821A80"/>
    <w:rsid w:val="6B842643"/>
    <w:rsid w:val="6B8E6F7C"/>
    <w:rsid w:val="6B8E767A"/>
    <w:rsid w:val="6B923B2B"/>
    <w:rsid w:val="6B9429D1"/>
    <w:rsid w:val="6B960B11"/>
    <w:rsid w:val="6B98025A"/>
    <w:rsid w:val="6B9C3C63"/>
    <w:rsid w:val="6BA31A09"/>
    <w:rsid w:val="6BA75497"/>
    <w:rsid w:val="6BA9582F"/>
    <w:rsid w:val="6BAD3EBF"/>
    <w:rsid w:val="6BB176F7"/>
    <w:rsid w:val="6BB17E5A"/>
    <w:rsid w:val="6BB35690"/>
    <w:rsid w:val="6BB455C1"/>
    <w:rsid w:val="6BB74227"/>
    <w:rsid w:val="6BBA66B5"/>
    <w:rsid w:val="6BBA68E4"/>
    <w:rsid w:val="6BBB4885"/>
    <w:rsid w:val="6BBE76E4"/>
    <w:rsid w:val="6BC9376F"/>
    <w:rsid w:val="6BD1009A"/>
    <w:rsid w:val="6BD5079D"/>
    <w:rsid w:val="6BE0583E"/>
    <w:rsid w:val="6BE0639E"/>
    <w:rsid w:val="6BE444FA"/>
    <w:rsid w:val="6BE47E21"/>
    <w:rsid w:val="6BEC66EE"/>
    <w:rsid w:val="6BF07EAA"/>
    <w:rsid w:val="6BF14A0C"/>
    <w:rsid w:val="6BF20FB8"/>
    <w:rsid w:val="6C0537C8"/>
    <w:rsid w:val="6C084114"/>
    <w:rsid w:val="6C093B94"/>
    <w:rsid w:val="6C0F41E1"/>
    <w:rsid w:val="6C166603"/>
    <w:rsid w:val="6C197FCB"/>
    <w:rsid w:val="6C267A02"/>
    <w:rsid w:val="6C29167F"/>
    <w:rsid w:val="6C2A6CEE"/>
    <w:rsid w:val="6C2B2504"/>
    <w:rsid w:val="6C2B4363"/>
    <w:rsid w:val="6C304F19"/>
    <w:rsid w:val="6C3053D9"/>
    <w:rsid w:val="6C356ABB"/>
    <w:rsid w:val="6C3761B2"/>
    <w:rsid w:val="6C38645D"/>
    <w:rsid w:val="6C4377B6"/>
    <w:rsid w:val="6C517C60"/>
    <w:rsid w:val="6C5405E0"/>
    <w:rsid w:val="6C551B49"/>
    <w:rsid w:val="6C556AE6"/>
    <w:rsid w:val="6C57453E"/>
    <w:rsid w:val="6C595BFA"/>
    <w:rsid w:val="6C644122"/>
    <w:rsid w:val="6C654632"/>
    <w:rsid w:val="6C687A6C"/>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742ED"/>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B21EE"/>
    <w:rsid w:val="6D8F663A"/>
    <w:rsid w:val="6D921648"/>
    <w:rsid w:val="6D927D4F"/>
    <w:rsid w:val="6D943E51"/>
    <w:rsid w:val="6D9A7415"/>
    <w:rsid w:val="6D9C4BDA"/>
    <w:rsid w:val="6D9F77B2"/>
    <w:rsid w:val="6DA22A3B"/>
    <w:rsid w:val="6DA71CDB"/>
    <w:rsid w:val="6DAD7B23"/>
    <w:rsid w:val="6DB14A26"/>
    <w:rsid w:val="6DB43CBF"/>
    <w:rsid w:val="6DB65267"/>
    <w:rsid w:val="6DBE7C28"/>
    <w:rsid w:val="6DC616C6"/>
    <w:rsid w:val="6DC869CE"/>
    <w:rsid w:val="6DC95CAA"/>
    <w:rsid w:val="6DCA662C"/>
    <w:rsid w:val="6DCE70D9"/>
    <w:rsid w:val="6DD54A74"/>
    <w:rsid w:val="6DE512BE"/>
    <w:rsid w:val="6DE61A59"/>
    <w:rsid w:val="6DEA6AB1"/>
    <w:rsid w:val="6DEC6482"/>
    <w:rsid w:val="6DED1851"/>
    <w:rsid w:val="6DF73D6D"/>
    <w:rsid w:val="6DFB5040"/>
    <w:rsid w:val="6DFC483A"/>
    <w:rsid w:val="6DFE1195"/>
    <w:rsid w:val="6DFF0BBF"/>
    <w:rsid w:val="6DFF24B3"/>
    <w:rsid w:val="6E047794"/>
    <w:rsid w:val="6E0B3FCF"/>
    <w:rsid w:val="6E0B72B9"/>
    <w:rsid w:val="6E0C686E"/>
    <w:rsid w:val="6E1451C2"/>
    <w:rsid w:val="6E162FFC"/>
    <w:rsid w:val="6E2703E9"/>
    <w:rsid w:val="6E2B7861"/>
    <w:rsid w:val="6E2F1A84"/>
    <w:rsid w:val="6E3D153A"/>
    <w:rsid w:val="6E3D457A"/>
    <w:rsid w:val="6E471FA2"/>
    <w:rsid w:val="6E4A41E5"/>
    <w:rsid w:val="6E51768B"/>
    <w:rsid w:val="6E56438B"/>
    <w:rsid w:val="6E566306"/>
    <w:rsid w:val="6E5F53C9"/>
    <w:rsid w:val="6E6A1EA2"/>
    <w:rsid w:val="6E6B1B2A"/>
    <w:rsid w:val="6E6D6DD6"/>
    <w:rsid w:val="6E6F0F38"/>
    <w:rsid w:val="6E7234C8"/>
    <w:rsid w:val="6E74290C"/>
    <w:rsid w:val="6E775B0D"/>
    <w:rsid w:val="6E7B4978"/>
    <w:rsid w:val="6E7C180A"/>
    <w:rsid w:val="6E8677E9"/>
    <w:rsid w:val="6E871FD2"/>
    <w:rsid w:val="6E8A6695"/>
    <w:rsid w:val="6E8D29C3"/>
    <w:rsid w:val="6E8F301E"/>
    <w:rsid w:val="6E8F6DAA"/>
    <w:rsid w:val="6E9060BF"/>
    <w:rsid w:val="6EA73D3F"/>
    <w:rsid w:val="6EAE21D1"/>
    <w:rsid w:val="6EB0265D"/>
    <w:rsid w:val="6EB4297B"/>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2E26B3"/>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DF5BC9"/>
    <w:rsid w:val="6FE06922"/>
    <w:rsid w:val="6FE11A6A"/>
    <w:rsid w:val="6FE91832"/>
    <w:rsid w:val="6FEC7139"/>
    <w:rsid w:val="6FF00E79"/>
    <w:rsid w:val="6FF15C82"/>
    <w:rsid w:val="6FFB18A6"/>
    <w:rsid w:val="6FFD13E7"/>
    <w:rsid w:val="70035B63"/>
    <w:rsid w:val="70036B75"/>
    <w:rsid w:val="70057CA4"/>
    <w:rsid w:val="70084791"/>
    <w:rsid w:val="700B4CC3"/>
    <w:rsid w:val="700E3BD9"/>
    <w:rsid w:val="701B650B"/>
    <w:rsid w:val="70200403"/>
    <w:rsid w:val="702101C4"/>
    <w:rsid w:val="70233697"/>
    <w:rsid w:val="702F5DFE"/>
    <w:rsid w:val="702F7F84"/>
    <w:rsid w:val="7041670E"/>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679E3"/>
    <w:rsid w:val="70971996"/>
    <w:rsid w:val="709A6CCB"/>
    <w:rsid w:val="709E3984"/>
    <w:rsid w:val="70A01528"/>
    <w:rsid w:val="70A45BDD"/>
    <w:rsid w:val="70A46FAF"/>
    <w:rsid w:val="70A535EC"/>
    <w:rsid w:val="70AF24D8"/>
    <w:rsid w:val="70AF626C"/>
    <w:rsid w:val="70B02DD4"/>
    <w:rsid w:val="70B172B5"/>
    <w:rsid w:val="70B17A12"/>
    <w:rsid w:val="70B41194"/>
    <w:rsid w:val="70BC7B39"/>
    <w:rsid w:val="70C01C60"/>
    <w:rsid w:val="70C14F6B"/>
    <w:rsid w:val="70C17302"/>
    <w:rsid w:val="70DA2493"/>
    <w:rsid w:val="70DC4BC5"/>
    <w:rsid w:val="70E86ADD"/>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25218"/>
    <w:rsid w:val="71536C22"/>
    <w:rsid w:val="71567F32"/>
    <w:rsid w:val="715E00B3"/>
    <w:rsid w:val="716004C4"/>
    <w:rsid w:val="716242AB"/>
    <w:rsid w:val="716D482E"/>
    <w:rsid w:val="716F72EE"/>
    <w:rsid w:val="7170516F"/>
    <w:rsid w:val="71734806"/>
    <w:rsid w:val="717A35EB"/>
    <w:rsid w:val="71821750"/>
    <w:rsid w:val="7182297B"/>
    <w:rsid w:val="718729E9"/>
    <w:rsid w:val="718B2947"/>
    <w:rsid w:val="718C02FE"/>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05DC2"/>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104B8"/>
    <w:rsid w:val="724A4324"/>
    <w:rsid w:val="724D6F66"/>
    <w:rsid w:val="72522723"/>
    <w:rsid w:val="72526D2A"/>
    <w:rsid w:val="72531906"/>
    <w:rsid w:val="725340BD"/>
    <w:rsid w:val="72542A36"/>
    <w:rsid w:val="72555383"/>
    <w:rsid w:val="725B002B"/>
    <w:rsid w:val="726071AA"/>
    <w:rsid w:val="72612414"/>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649B8"/>
    <w:rsid w:val="72E779D1"/>
    <w:rsid w:val="72EF114F"/>
    <w:rsid w:val="7301303C"/>
    <w:rsid w:val="73024E04"/>
    <w:rsid w:val="73025A71"/>
    <w:rsid w:val="730B0185"/>
    <w:rsid w:val="730B2912"/>
    <w:rsid w:val="73117F42"/>
    <w:rsid w:val="73130C07"/>
    <w:rsid w:val="731829E1"/>
    <w:rsid w:val="73266F63"/>
    <w:rsid w:val="732A69D2"/>
    <w:rsid w:val="732E73B4"/>
    <w:rsid w:val="732F0552"/>
    <w:rsid w:val="73353A9D"/>
    <w:rsid w:val="733A4AF0"/>
    <w:rsid w:val="733E5133"/>
    <w:rsid w:val="73470963"/>
    <w:rsid w:val="73482989"/>
    <w:rsid w:val="734B783B"/>
    <w:rsid w:val="73606A76"/>
    <w:rsid w:val="73640D2D"/>
    <w:rsid w:val="73664C31"/>
    <w:rsid w:val="736F39A6"/>
    <w:rsid w:val="736F5ADD"/>
    <w:rsid w:val="737773BC"/>
    <w:rsid w:val="73803D51"/>
    <w:rsid w:val="73825C14"/>
    <w:rsid w:val="73833688"/>
    <w:rsid w:val="73847541"/>
    <w:rsid w:val="73896932"/>
    <w:rsid w:val="738B78DE"/>
    <w:rsid w:val="738E0824"/>
    <w:rsid w:val="738F3A55"/>
    <w:rsid w:val="739942FF"/>
    <w:rsid w:val="73A760F2"/>
    <w:rsid w:val="73B00CC3"/>
    <w:rsid w:val="73B06C67"/>
    <w:rsid w:val="73B72266"/>
    <w:rsid w:val="73BD2509"/>
    <w:rsid w:val="73C55A94"/>
    <w:rsid w:val="73D63DCA"/>
    <w:rsid w:val="73D76FCF"/>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2B2769"/>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23205"/>
    <w:rsid w:val="74891CF9"/>
    <w:rsid w:val="748B0C7D"/>
    <w:rsid w:val="74903C13"/>
    <w:rsid w:val="74954644"/>
    <w:rsid w:val="74957A0A"/>
    <w:rsid w:val="749B5D94"/>
    <w:rsid w:val="74A25A03"/>
    <w:rsid w:val="74AB7FDA"/>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75CE1"/>
    <w:rsid w:val="74F95012"/>
    <w:rsid w:val="7502115E"/>
    <w:rsid w:val="75054738"/>
    <w:rsid w:val="750842CC"/>
    <w:rsid w:val="75091147"/>
    <w:rsid w:val="750F4E7A"/>
    <w:rsid w:val="75181445"/>
    <w:rsid w:val="751A36F4"/>
    <w:rsid w:val="751D2CC0"/>
    <w:rsid w:val="7526226A"/>
    <w:rsid w:val="752F371C"/>
    <w:rsid w:val="753A4DD0"/>
    <w:rsid w:val="753E0E14"/>
    <w:rsid w:val="7542280E"/>
    <w:rsid w:val="7545531A"/>
    <w:rsid w:val="75560317"/>
    <w:rsid w:val="75566F69"/>
    <w:rsid w:val="755D1234"/>
    <w:rsid w:val="755F09DF"/>
    <w:rsid w:val="75675ADF"/>
    <w:rsid w:val="756B54F8"/>
    <w:rsid w:val="756C6582"/>
    <w:rsid w:val="756D4E66"/>
    <w:rsid w:val="756E5D13"/>
    <w:rsid w:val="75733DE7"/>
    <w:rsid w:val="757816ED"/>
    <w:rsid w:val="757A602C"/>
    <w:rsid w:val="7580636A"/>
    <w:rsid w:val="75807648"/>
    <w:rsid w:val="758641B8"/>
    <w:rsid w:val="75892A9F"/>
    <w:rsid w:val="75A65327"/>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03143"/>
    <w:rsid w:val="75FB7495"/>
    <w:rsid w:val="75FC7D3B"/>
    <w:rsid w:val="75FE31D9"/>
    <w:rsid w:val="75FF0133"/>
    <w:rsid w:val="75FF0244"/>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72951"/>
    <w:rsid w:val="7659095E"/>
    <w:rsid w:val="765A2E54"/>
    <w:rsid w:val="765C20F6"/>
    <w:rsid w:val="7669425E"/>
    <w:rsid w:val="766B3DFC"/>
    <w:rsid w:val="766E1268"/>
    <w:rsid w:val="76710E80"/>
    <w:rsid w:val="7672739A"/>
    <w:rsid w:val="767E302B"/>
    <w:rsid w:val="76823B6E"/>
    <w:rsid w:val="768542F9"/>
    <w:rsid w:val="769016B8"/>
    <w:rsid w:val="76932345"/>
    <w:rsid w:val="769F0579"/>
    <w:rsid w:val="76A35D52"/>
    <w:rsid w:val="76A5622D"/>
    <w:rsid w:val="76A633ED"/>
    <w:rsid w:val="76AB5F51"/>
    <w:rsid w:val="76B02504"/>
    <w:rsid w:val="76B576A3"/>
    <w:rsid w:val="76BF45A0"/>
    <w:rsid w:val="76C30824"/>
    <w:rsid w:val="76C428B5"/>
    <w:rsid w:val="76C50EFA"/>
    <w:rsid w:val="76C87FBA"/>
    <w:rsid w:val="76D03D47"/>
    <w:rsid w:val="76D16B19"/>
    <w:rsid w:val="76D36B70"/>
    <w:rsid w:val="76D723E3"/>
    <w:rsid w:val="76DB3BA3"/>
    <w:rsid w:val="76E02C24"/>
    <w:rsid w:val="76E34A56"/>
    <w:rsid w:val="76E56D71"/>
    <w:rsid w:val="76E6140A"/>
    <w:rsid w:val="76ED7808"/>
    <w:rsid w:val="76F1454B"/>
    <w:rsid w:val="76F41B95"/>
    <w:rsid w:val="76F6139A"/>
    <w:rsid w:val="76FA7A7E"/>
    <w:rsid w:val="76FF75D2"/>
    <w:rsid w:val="770268CD"/>
    <w:rsid w:val="77031968"/>
    <w:rsid w:val="77050573"/>
    <w:rsid w:val="77066555"/>
    <w:rsid w:val="77067A75"/>
    <w:rsid w:val="7707185C"/>
    <w:rsid w:val="770760C1"/>
    <w:rsid w:val="770A715A"/>
    <w:rsid w:val="770C2EAD"/>
    <w:rsid w:val="77111055"/>
    <w:rsid w:val="77140ED4"/>
    <w:rsid w:val="7717373F"/>
    <w:rsid w:val="77187B86"/>
    <w:rsid w:val="771C3614"/>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71D77"/>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AC00C4"/>
    <w:rsid w:val="77B05D89"/>
    <w:rsid w:val="77B268BA"/>
    <w:rsid w:val="77B47AEB"/>
    <w:rsid w:val="77B6601D"/>
    <w:rsid w:val="77BB391E"/>
    <w:rsid w:val="77BF6C49"/>
    <w:rsid w:val="77CA4DD0"/>
    <w:rsid w:val="77D7676B"/>
    <w:rsid w:val="77DB02CE"/>
    <w:rsid w:val="77DB70C7"/>
    <w:rsid w:val="77DD7A01"/>
    <w:rsid w:val="77E85637"/>
    <w:rsid w:val="77EE30D2"/>
    <w:rsid w:val="77F630A0"/>
    <w:rsid w:val="78005696"/>
    <w:rsid w:val="78005B7D"/>
    <w:rsid w:val="780A565F"/>
    <w:rsid w:val="780B2FEF"/>
    <w:rsid w:val="780C15F4"/>
    <w:rsid w:val="780F0AC0"/>
    <w:rsid w:val="7810621D"/>
    <w:rsid w:val="78107099"/>
    <w:rsid w:val="78114B77"/>
    <w:rsid w:val="78166D7A"/>
    <w:rsid w:val="781D006F"/>
    <w:rsid w:val="781F2405"/>
    <w:rsid w:val="78213084"/>
    <w:rsid w:val="78213648"/>
    <w:rsid w:val="782424D5"/>
    <w:rsid w:val="78287DBF"/>
    <w:rsid w:val="782F5A83"/>
    <w:rsid w:val="78305E38"/>
    <w:rsid w:val="783328A6"/>
    <w:rsid w:val="78367F27"/>
    <w:rsid w:val="783C4C63"/>
    <w:rsid w:val="783F1D19"/>
    <w:rsid w:val="78404234"/>
    <w:rsid w:val="78475B1A"/>
    <w:rsid w:val="784B2E74"/>
    <w:rsid w:val="784D4582"/>
    <w:rsid w:val="78520561"/>
    <w:rsid w:val="78531BDB"/>
    <w:rsid w:val="785364C5"/>
    <w:rsid w:val="78556E52"/>
    <w:rsid w:val="785E2773"/>
    <w:rsid w:val="785F6878"/>
    <w:rsid w:val="78631B96"/>
    <w:rsid w:val="786746B9"/>
    <w:rsid w:val="78682E27"/>
    <w:rsid w:val="786B2A6C"/>
    <w:rsid w:val="786C5E43"/>
    <w:rsid w:val="786E7579"/>
    <w:rsid w:val="78714A8B"/>
    <w:rsid w:val="787B626A"/>
    <w:rsid w:val="787E78CF"/>
    <w:rsid w:val="78842FF3"/>
    <w:rsid w:val="7889168E"/>
    <w:rsid w:val="78932A56"/>
    <w:rsid w:val="78957160"/>
    <w:rsid w:val="7897387D"/>
    <w:rsid w:val="78996993"/>
    <w:rsid w:val="789F05FD"/>
    <w:rsid w:val="78A24FBC"/>
    <w:rsid w:val="78A35617"/>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8576E"/>
    <w:rsid w:val="793A1AE4"/>
    <w:rsid w:val="793C7B07"/>
    <w:rsid w:val="79451F4D"/>
    <w:rsid w:val="794621D6"/>
    <w:rsid w:val="794A6843"/>
    <w:rsid w:val="794D60B2"/>
    <w:rsid w:val="794F4BE2"/>
    <w:rsid w:val="795134B6"/>
    <w:rsid w:val="795473E7"/>
    <w:rsid w:val="795E06F8"/>
    <w:rsid w:val="795E094E"/>
    <w:rsid w:val="795E35AB"/>
    <w:rsid w:val="79620926"/>
    <w:rsid w:val="79681A85"/>
    <w:rsid w:val="79725241"/>
    <w:rsid w:val="79732E77"/>
    <w:rsid w:val="79736CFC"/>
    <w:rsid w:val="79740FDB"/>
    <w:rsid w:val="79743161"/>
    <w:rsid w:val="798B0BA1"/>
    <w:rsid w:val="79906517"/>
    <w:rsid w:val="799255C4"/>
    <w:rsid w:val="799538B1"/>
    <w:rsid w:val="7995465F"/>
    <w:rsid w:val="799C771D"/>
    <w:rsid w:val="799F269A"/>
    <w:rsid w:val="79A350A4"/>
    <w:rsid w:val="79A51DD5"/>
    <w:rsid w:val="79A85B1D"/>
    <w:rsid w:val="79B27C4C"/>
    <w:rsid w:val="79B44F8C"/>
    <w:rsid w:val="79BA2167"/>
    <w:rsid w:val="79BD6F74"/>
    <w:rsid w:val="79BF551C"/>
    <w:rsid w:val="79C120E0"/>
    <w:rsid w:val="79C634A3"/>
    <w:rsid w:val="79C723A4"/>
    <w:rsid w:val="79C74587"/>
    <w:rsid w:val="79CA3BEB"/>
    <w:rsid w:val="79DF3AB5"/>
    <w:rsid w:val="79EA45A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15085"/>
    <w:rsid w:val="7A522AD8"/>
    <w:rsid w:val="7A541CDF"/>
    <w:rsid w:val="7A541EB0"/>
    <w:rsid w:val="7A682849"/>
    <w:rsid w:val="7A6B3DC0"/>
    <w:rsid w:val="7A6E01D4"/>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93308"/>
    <w:rsid w:val="7ABB6B96"/>
    <w:rsid w:val="7ABD44B1"/>
    <w:rsid w:val="7AC21F5F"/>
    <w:rsid w:val="7AC33BB3"/>
    <w:rsid w:val="7AC4137C"/>
    <w:rsid w:val="7AC66B15"/>
    <w:rsid w:val="7AC94F89"/>
    <w:rsid w:val="7ACC2F08"/>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B7E69"/>
    <w:rsid w:val="7B61362C"/>
    <w:rsid w:val="7B7501AD"/>
    <w:rsid w:val="7B78034A"/>
    <w:rsid w:val="7B7E569B"/>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2D6C"/>
    <w:rsid w:val="7BCD7FFB"/>
    <w:rsid w:val="7BCF1DE2"/>
    <w:rsid w:val="7BCF5CA9"/>
    <w:rsid w:val="7BD43E2F"/>
    <w:rsid w:val="7BD46237"/>
    <w:rsid w:val="7BD556F2"/>
    <w:rsid w:val="7BD775C3"/>
    <w:rsid w:val="7BDA0029"/>
    <w:rsid w:val="7BDB6D18"/>
    <w:rsid w:val="7BDF4097"/>
    <w:rsid w:val="7BDF5802"/>
    <w:rsid w:val="7BE42FC3"/>
    <w:rsid w:val="7BE56E02"/>
    <w:rsid w:val="7BE86FC8"/>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1F60C9"/>
    <w:rsid w:val="7C234A9B"/>
    <w:rsid w:val="7C236DC4"/>
    <w:rsid w:val="7C272E9E"/>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96FBA"/>
    <w:rsid w:val="7C8B4BD5"/>
    <w:rsid w:val="7C90608C"/>
    <w:rsid w:val="7C997B87"/>
    <w:rsid w:val="7C9A793C"/>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90C4F"/>
    <w:rsid w:val="7D3A76BB"/>
    <w:rsid w:val="7D405AA6"/>
    <w:rsid w:val="7D436EF5"/>
    <w:rsid w:val="7D4C7CE9"/>
    <w:rsid w:val="7D50513A"/>
    <w:rsid w:val="7D512D55"/>
    <w:rsid w:val="7D5709AE"/>
    <w:rsid w:val="7D5E2E71"/>
    <w:rsid w:val="7D682DF0"/>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EB3196"/>
    <w:rsid w:val="7DF50967"/>
    <w:rsid w:val="7DF742E6"/>
    <w:rsid w:val="7DFC489D"/>
    <w:rsid w:val="7E0E68FC"/>
    <w:rsid w:val="7E0F3EA6"/>
    <w:rsid w:val="7E1246DB"/>
    <w:rsid w:val="7E165F0E"/>
    <w:rsid w:val="7E19264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639FA"/>
    <w:rsid w:val="7E572DD3"/>
    <w:rsid w:val="7E5F27E2"/>
    <w:rsid w:val="7E6036B2"/>
    <w:rsid w:val="7E620822"/>
    <w:rsid w:val="7E6931CF"/>
    <w:rsid w:val="7E6D71D1"/>
    <w:rsid w:val="7E7437F7"/>
    <w:rsid w:val="7E755600"/>
    <w:rsid w:val="7E822269"/>
    <w:rsid w:val="7E8255D2"/>
    <w:rsid w:val="7E88480B"/>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C3AD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03ED"/>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CE4918"/>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7"/>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8"/>
    <w:unhideWhenUsed/>
    <w:qFormat/>
    <w:uiPriority w:val="9"/>
    <w:pPr>
      <w:snapToGrid w:val="0"/>
      <w:spacing w:line="240" w:lineRule="auto"/>
      <w:ind w:left="0" w:firstLine="221" w:firstLineChars="100"/>
      <w:jc w:val="both"/>
      <w:outlineLvl w:val="2"/>
    </w:pPr>
    <w:rPr>
      <w:sz w:val="24"/>
    </w:rPr>
  </w:style>
  <w:style w:type="paragraph" w:styleId="5">
    <w:name w:val="heading 4"/>
    <w:basedOn w:val="4"/>
    <w:next w:val="1"/>
    <w:link w:val="67"/>
    <w:qFormat/>
    <w:uiPriority w:val="0"/>
    <w:pPr>
      <w:overflowPunct w:val="0"/>
      <w:spacing w:after="0"/>
      <w:textAlignment w:val="baseline"/>
      <w:outlineLvl w:val="3"/>
    </w:pPr>
    <w:rPr>
      <w:sz w:val="28"/>
      <w:szCs w:val="28"/>
      <w:lang w:val="en-GB"/>
    </w:rPr>
  </w:style>
  <w:style w:type="paragraph" w:styleId="6">
    <w:name w:val="heading 5"/>
    <w:basedOn w:val="1"/>
    <w:next w:val="1"/>
    <w:link w:val="68"/>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2"/>
    <w:unhideWhenUsed/>
    <w:qFormat/>
    <w:uiPriority w:val="99"/>
    <w:rPr>
      <w:rFonts w:ascii="宋体"/>
      <w:sz w:val="18"/>
      <w:szCs w:val="18"/>
    </w:rPr>
  </w:style>
  <w:style w:type="paragraph" w:styleId="15">
    <w:name w:val="annotation text"/>
    <w:basedOn w:val="1"/>
    <w:link w:val="40"/>
    <w:unhideWhenUsed/>
    <w:qFormat/>
    <w:uiPriority w:val="99"/>
    <w:rPr>
      <w:sz w:val="20"/>
      <w:szCs w:val="20"/>
    </w:rPr>
  </w:style>
  <w:style w:type="paragraph" w:styleId="16">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5"/>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1"/>
    <w:unhideWhenUsed/>
    <w:qFormat/>
    <w:uiPriority w:val="99"/>
    <w:pPr>
      <w:spacing w:after="0" w:line="240" w:lineRule="auto"/>
    </w:pPr>
    <w:rPr>
      <w:rFonts w:eastAsia="Calibri"/>
      <w:szCs w:val="21"/>
      <w:lang w:val="en-GB" w:eastAsia="en-US"/>
    </w:rPr>
  </w:style>
  <w:style w:type="paragraph" w:styleId="20">
    <w:name w:val="Date"/>
    <w:basedOn w:val="1"/>
    <w:next w:val="1"/>
    <w:link w:val="55"/>
    <w:unhideWhenUsed/>
    <w:qFormat/>
    <w:uiPriority w:val="99"/>
    <w:pPr>
      <w:ind w:left="100" w:leftChars="2500"/>
    </w:pPr>
  </w:style>
  <w:style w:type="paragraph" w:styleId="21">
    <w:name w:val="Balloon Text"/>
    <w:basedOn w:val="1"/>
    <w:link w:val="36"/>
    <w:unhideWhenUsed/>
    <w:qFormat/>
    <w:uiPriority w:val="99"/>
    <w:pPr>
      <w:spacing w:after="0" w:line="240" w:lineRule="auto"/>
    </w:pPr>
    <w:rPr>
      <w:rFonts w:ascii="Tahoma" w:hAnsi="Tahoma"/>
      <w:sz w:val="16"/>
      <w:szCs w:val="16"/>
    </w:rPr>
  </w:style>
  <w:style w:type="paragraph" w:styleId="22">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8"/>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1"/>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9">
    <w:name w:val="Table Elegant"/>
    <w:basedOn w:val="27"/>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31">
    <w:name w:val="page number"/>
    <w:basedOn w:val="30"/>
    <w:unhideWhenUsed/>
    <w:qFormat/>
    <w:uiPriority w:val="99"/>
    <w:rPr>
      <w:rFonts w:hint="default"/>
      <w:sz w:val="24"/>
    </w:rPr>
  </w:style>
  <w:style w:type="character" w:styleId="32">
    <w:name w:val="FollowedHyperlink"/>
    <w:basedOn w:val="30"/>
    <w:semiHidden/>
    <w:unhideWhenUsed/>
    <w:qFormat/>
    <w:uiPriority w:val="99"/>
    <w:rPr>
      <w:color w:val="800080"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unhideWhenUsed/>
    <w:qFormat/>
    <w:uiPriority w:val="99"/>
    <w:rPr>
      <w:color w:val="0000FF"/>
      <w:u w:val="single"/>
    </w:rPr>
  </w:style>
  <w:style w:type="character" w:styleId="35">
    <w:name w:val="annotation reference"/>
    <w:basedOn w:val="30"/>
    <w:unhideWhenUsed/>
    <w:qFormat/>
    <w:uiPriority w:val="99"/>
    <w:rPr>
      <w:sz w:val="16"/>
      <w:szCs w:val="16"/>
    </w:rPr>
  </w:style>
  <w:style w:type="character" w:customStyle="1" w:styleId="36">
    <w:name w:val="批注框文本 Char"/>
    <w:link w:val="21"/>
    <w:semiHidden/>
    <w:qFormat/>
    <w:uiPriority w:val="99"/>
    <w:rPr>
      <w:rFonts w:ascii="Tahoma" w:hAnsi="Tahoma" w:cs="Tahoma"/>
      <w:sz w:val="16"/>
      <w:szCs w:val="16"/>
    </w:rPr>
  </w:style>
  <w:style w:type="character" w:customStyle="1" w:styleId="37">
    <w:name w:val="标题 1 Char"/>
    <w:link w:val="2"/>
    <w:qFormat/>
    <w:uiPriority w:val="0"/>
    <w:rPr>
      <w:rFonts w:ascii="Arial" w:hAnsi="Arial" w:eastAsia="黑体"/>
      <w:b/>
      <w:bCs/>
      <w:sz w:val="30"/>
      <w:szCs w:val="30"/>
      <w:lang w:val="zh-CN"/>
    </w:rPr>
  </w:style>
  <w:style w:type="character" w:customStyle="1" w:styleId="38">
    <w:name w:val="页眉 Char"/>
    <w:link w:val="23"/>
    <w:qFormat/>
    <w:uiPriority w:val="99"/>
    <w:rPr>
      <w:rFonts w:ascii="Arial" w:hAnsi="Arial" w:eastAsia="MS Mincho"/>
      <w:b/>
      <w:szCs w:val="24"/>
      <w:lang w:eastAsia="en-US"/>
    </w:rPr>
  </w:style>
  <w:style w:type="paragraph" w:customStyle="1" w:styleId="3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0">
    <w:name w:val="批注文字 Char"/>
    <w:basedOn w:val="30"/>
    <w:link w:val="15"/>
    <w:qFormat/>
    <w:uiPriority w:val="99"/>
  </w:style>
  <w:style w:type="character" w:customStyle="1" w:styleId="41">
    <w:name w:val="批注主题 Char"/>
    <w:link w:val="26"/>
    <w:semiHidden/>
    <w:qFormat/>
    <w:uiPriority w:val="99"/>
    <w:rPr>
      <w:b/>
      <w:bCs/>
    </w:rPr>
  </w:style>
  <w:style w:type="character" w:customStyle="1" w:styleId="42">
    <w:name w:val="文档结构图 Char"/>
    <w:link w:val="14"/>
    <w:semiHidden/>
    <w:qFormat/>
    <w:uiPriority w:val="99"/>
    <w:rPr>
      <w:rFonts w:ascii="宋体"/>
      <w:sz w:val="18"/>
      <w:szCs w:val="18"/>
    </w:rPr>
  </w:style>
  <w:style w:type="character" w:customStyle="1" w:styleId="43">
    <w:name w:val="正文文本 Char"/>
    <w:link w:val="16"/>
    <w:qFormat/>
    <w:uiPriority w:val="0"/>
    <w:rPr>
      <w:rFonts w:ascii="Times New Roman" w:hAnsi="Times New Roman"/>
      <w:color w:val="0000FF"/>
      <w:kern w:val="2"/>
      <w:sz w:val="21"/>
    </w:rPr>
  </w:style>
  <w:style w:type="character" w:customStyle="1" w:styleId="44">
    <w:name w:val="题注 Char"/>
    <w:link w:val="13"/>
    <w:qFormat/>
    <w:uiPriority w:val="0"/>
    <w:rPr>
      <w:rFonts w:ascii="Times New Roman" w:hAnsi="Times New Roman" w:eastAsiaTheme="minorEastAsia"/>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2"/>
    <w:qFormat/>
    <w:uiPriority w:val="99"/>
    <w:rPr>
      <w:sz w:val="18"/>
      <w:szCs w:val="18"/>
    </w:rPr>
  </w:style>
  <w:style w:type="character" w:customStyle="1" w:styleId="47">
    <w:name w:val="标题 2 Char"/>
    <w:link w:val="3"/>
    <w:qFormat/>
    <w:uiPriority w:val="0"/>
    <w:rPr>
      <w:rFonts w:ascii="Times New Roman" w:hAnsi="Times New Roman" w:eastAsiaTheme="minorEastAsia"/>
      <w:b/>
      <w:bCs/>
      <w:sz w:val="32"/>
      <w:szCs w:val="32"/>
      <w:lang w:val="en-US" w:eastAsia="zh-CN"/>
    </w:rPr>
  </w:style>
  <w:style w:type="character" w:customStyle="1" w:styleId="48">
    <w:name w:val="标题 3 Char"/>
    <w:link w:val="4"/>
    <w:semiHidden/>
    <w:qFormat/>
    <w:uiPriority w:val="9"/>
    <w:rPr>
      <w:rFonts w:ascii="Times New Roman" w:hAnsi="Times New Roman" w:eastAsiaTheme="minorEastAsia"/>
      <w:b/>
      <w:bCs/>
      <w:sz w:val="24"/>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0"/>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19"/>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7"/>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4"/>
    <w:link w:val="89"/>
    <w:qFormat/>
    <w:uiPriority w:val="99"/>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character" w:customStyle="1" w:styleId="89">
    <w:name w:val="B1 (文字)"/>
    <w:link w:val="86"/>
    <w:qFormat/>
    <w:locked/>
    <w:uiPriority w:val="99"/>
    <w:rPr>
      <w:rFonts w:ascii="Calibri" w:hAnsi="Calibri" w:eastAsiaTheme="minorEastAsia"/>
      <w:sz w:val="22"/>
      <w:szCs w:val="22"/>
    </w:rPr>
  </w:style>
  <w:style w:type="paragraph" w:customStyle="1" w:styleId="9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1">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2">
    <w:name w:val="列出段落2"/>
    <w:basedOn w:val="1"/>
    <w:qFormat/>
    <w:uiPriority w:val="99"/>
    <w:pPr>
      <w:ind w:firstLine="420" w:firstLineChars="200"/>
    </w:pPr>
  </w:style>
  <w:style w:type="paragraph" w:customStyle="1" w:styleId="93">
    <w:name w:val="3GPP Agreements"/>
    <w:basedOn w:val="1"/>
    <w:qFormat/>
    <w:uiPriority w:val="0"/>
    <w:pPr>
      <w:numPr>
        <w:ilvl w:val="0"/>
        <w:numId w:val="2"/>
      </w:numPr>
      <w:spacing w:before="60" w:after="60"/>
      <w:jc w:val="both"/>
    </w:pPr>
  </w:style>
  <w:style w:type="character" w:customStyle="1" w:styleId="94">
    <w:name w:val="normaltextrun"/>
    <w:qFormat/>
    <w:uiPriority w:val="0"/>
  </w:style>
  <w:style w:type="character" w:customStyle="1" w:styleId="95">
    <w:name w:val="spellingerror"/>
    <w:qFormat/>
    <w:uiPriority w:val="0"/>
  </w:style>
  <w:style w:type="paragraph" w:styleId="96">
    <w:name w:val="List Paragraph"/>
    <w:basedOn w:val="1"/>
    <w:link w:val="113"/>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7">
    <w:name w:val="10"/>
    <w:basedOn w:val="30"/>
    <w:qFormat/>
    <w:uiPriority w:val="0"/>
    <w:rPr>
      <w:rFonts w:hint="default" w:ascii="Times New Roman" w:hAnsi="Times New Roman" w:cs="Times New Roman"/>
    </w:rPr>
  </w:style>
  <w:style w:type="character" w:customStyle="1" w:styleId="98">
    <w:name w:val="15"/>
    <w:basedOn w:val="30"/>
    <w:qFormat/>
    <w:uiPriority w:val="0"/>
    <w:rPr>
      <w:rFonts w:hint="default" w:ascii="Times New Roman" w:hAnsi="Times New Roman" w:cs="Times New Roman"/>
    </w:rPr>
  </w:style>
  <w:style w:type="paragraph" w:customStyle="1" w:styleId="99">
    <w:name w:val="TAL+B1"/>
    <w:basedOn w:val="64"/>
    <w:qFormat/>
    <w:uiPriority w:val="0"/>
    <w:pPr>
      <w:widowControl w:val="0"/>
      <w:spacing w:before="100" w:beforeAutospacing="1" w:line="240" w:lineRule="auto"/>
      <w:ind w:left="284"/>
    </w:pPr>
    <w:rPr>
      <w:rFonts w:eastAsia="Times New Roman"/>
      <w:szCs w:val="18"/>
    </w:rPr>
  </w:style>
  <w:style w:type="paragraph" w:customStyle="1" w:styleId="100">
    <w:name w:val="TAL+B2"/>
    <w:basedOn w:val="99"/>
    <w:qFormat/>
    <w:uiPriority w:val="0"/>
    <w:pPr>
      <w:ind w:left="568"/>
    </w:pPr>
  </w:style>
  <w:style w:type="paragraph" w:customStyle="1" w:styleId="101">
    <w:name w:val="TAL+B3"/>
    <w:basedOn w:val="100"/>
    <w:qFormat/>
    <w:uiPriority w:val="0"/>
    <w:pPr>
      <w:ind w:left="852"/>
    </w:pPr>
  </w:style>
  <w:style w:type="paragraph" w:customStyle="1" w:styleId="102">
    <w:name w:val="TAL+B4"/>
    <w:basedOn w:val="101"/>
    <w:qFormat/>
    <w:uiPriority w:val="0"/>
    <w:pPr>
      <w:ind w:left="1136"/>
    </w:pPr>
  </w:style>
  <w:style w:type="paragraph" w:customStyle="1" w:styleId="103">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4">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5">
    <w:name w:val="EmailDiscussion"/>
    <w:basedOn w:val="1"/>
    <w:next w:val="104"/>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6">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7">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9">
    <w:name w:val="Placeholder Text"/>
    <w:basedOn w:val="30"/>
    <w:semiHidden/>
    <w:qFormat/>
    <w:uiPriority w:val="99"/>
    <w:rPr>
      <w:color w:val="808080"/>
    </w:rPr>
  </w:style>
  <w:style w:type="paragraph" w:customStyle="1" w:styleId="110">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11">
    <w:name w:val="0 Main text"/>
    <w:basedOn w:val="1"/>
    <w:qFormat/>
    <w:uiPriority w:val="0"/>
    <w:pPr>
      <w:jc w:val="both"/>
    </w:pPr>
    <w:rPr>
      <w:rFonts w:ascii="Times New Roman" w:hAnsi="Times New Roman" w:eastAsia="Malgun Gothic"/>
      <w:szCs w:val="20"/>
    </w:rPr>
  </w:style>
  <w:style w:type="paragraph" w:customStyle="1" w:styleId="112">
    <w:name w:val="修订2"/>
    <w:hidden/>
    <w:semiHidden/>
    <w:qFormat/>
    <w:uiPriority w:val="99"/>
    <w:rPr>
      <w:rFonts w:ascii="Calibri" w:hAnsi="Calibri" w:cs="Times New Roman" w:eastAsiaTheme="minorEastAsia"/>
      <w:sz w:val="22"/>
      <w:szCs w:val="22"/>
      <w:lang w:val="en-US" w:eastAsia="zh-CN" w:bidi="ar-SA"/>
    </w:rPr>
  </w:style>
  <w:style w:type="character" w:customStyle="1" w:styleId="113">
    <w:name w:val="列出段落 Char1"/>
    <w:link w:val="96"/>
    <w:qFormat/>
    <w:locked/>
    <w:uiPriority w:val="34"/>
    <w:rPr>
      <w:sz w:val="22"/>
      <w:lang w:eastAsia="ja-JP"/>
    </w:rPr>
  </w:style>
  <w:style w:type="paragraph" w:customStyle="1" w:styleId="114">
    <w:name w:val="Tdoc_Header_2"/>
    <w:basedOn w:val="1"/>
    <w:qFormat/>
    <w:uiPriority w:val="0"/>
    <w:pPr>
      <w:widowControl w:val="0"/>
      <w:tabs>
        <w:tab w:val="left" w:pos="1701"/>
        <w:tab w:val="right" w:pos="9072"/>
        <w:tab w:val="right" w:pos="10206"/>
      </w:tabs>
      <w:jc w:val="both"/>
    </w:pPr>
    <w:rPr>
      <w:rFonts w:ascii="Arial" w:hAnsi="Arial"/>
      <w:b/>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1.emf"/><Relationship Id="rId21" Type="http://schemas.openxmlformats.org/officeDocument/2006/relationships/oleObject" Target="embeddings/oleObject5.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4.bin"/><Relationship Id="rId17" Type="http://schemas.openxmlformats.org/officeDocument/2006/relationships/image" Target="media/image8.wmf"/><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36BF-04FB-4C5B-A1C6-E74C3C40062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5961</Words>
  <Characters>33984</Characters>
  <Lines>283</Lines>
  <Paragraphs>79</Paragraphs>
  <TotalTime>43</TotalTime>
  <ScaleCrop>false</ScaleCrop>
  <LinksUpToDate>false</LinksUpToDate>
  <CharactersWithSpaces>39866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蒋创新</cp:lastModifiedBy>
  <dcterms:modified xsi:type="dcterms:W3CDTF">2023-08-11T07:29:42Z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08142AD984B846529BC3F7F3AEAE59AE</vt:lpwstr>
  </property>
</Properties>
</file>